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ACD02">
      <w:pPr>
        <w:pStyle w:val="16"/>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附件1：</w:t>
      </w:r>
    </w:p>
    <w:p w14:paraId="5C7763C0">
      <w:pPr>
        <w:pStyle w:val="16"/>
        <w:jc w:val="center"/>
        <w:rPr>
          <w:rFonts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北京大学学生素质综合测评办法外国语学院实施细则</w:t>
      </w:r>
    </w:p>
    <w:p w14:paraId="562CBB22">
      <w:pPr>
        <w:pStyle w:val="16"/>
        <w:jc w:val="center"/>
        <w:rPr>
          <w:rFonts w:ascii="楷体" w:hAnsi="楷体" w:eastAsia="楷体"/>
          <w:color w:val="000000" w:themeColor="text1"/>
          <w:highlight w:val="none"/>
          <w14:textFill>
            <w14:solidFill>
              <w14:schemeClr w14:val="tx1"/>
            </w14:solidFill>
          </w14:textFill>
        </w:rPr>
      </w:pPr>
    </w:p>
    <w:p w14:paraId="4BE2E4B7">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第一章</w:t>
      </w:r>
      <w:r>
        <w:rPr>
          <w:rFonts w:hAnsi="宋体"/>
          <w:b/>
          <w:color w:val="000000" w:themeColor="text1"/>
          <w:sz w:val="28"/>
          <w:szCs w:val="28"/>
          <w:highlight w:val="none"/>
          <w14:textFill>
            <w14:solidFill>
              <w14:schemeClr w14:val="tx1"/>
            </w14:solidFill>
          </w14:textFill>
        </w:rPr>
        <w:t xml:space="preserve"> </w:t>
      </w:r>
      <w:r>
        <w:rPr>
          <w:rFonts w:hint="eastAsia" w:hAnsi="宋体"/>
          <w:b/>
          <w:color w:val="000000" w:themeColor="text1"/>
          <w:sz w:val="28"/>
          <w:szCs w:val="28"/>
          <w:highlight w:val="none"/>
          <w14:textFill>
            <w14:solidFill>
              <w14:schemeClr w14:val="tx1"/>
            </w14:solidFill>
          </w14:textFill>
        </w:rPr>
        <w:t>总则</w:t>
      </w:r>
    </w:p>
    <w:p w14:paraId="4E5EFB1B">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为深入贯彻党和国家的教育方针与政策，落实立德树人根本任务，培养德智体美劳全面发展的社会主义建设者和接班人，根据《普通高等学校学生管理规定》《北京大学章程》《北京大学学生素质综合测评办法》，结合学院实际情况，制定本实施细则。</w:t>
      </w:r>
    </w:p>
    <w:p w14:paraId="293ACC01">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学生素质综合测评是北京大学学生思想政治教育的重要环节，旨在通过树立目标、明确导向，推动学生自我教育、自我管理、自我服务，总结阶段性成长历程，促进学生全面发展和健康成长成才。</w:t>
      </w:r>
    </w:p>
    <w:p w14:paraId="6AEFC836">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本实施细则适用于在北京大学外国语学院正式注册的全日制本科生、硕士研究生、博士研究生，包括因参加学校或学院组织的出国（境）交流交换学习项目保留学籍的学生。</w:t>
      </w:r>
    </w:p>
    <w:p w14:paraId="5ACE159B">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下列学生不参与测评：入学第一年的学生，上一学年因病、因事、个人参加超出学制期限基本修业年限的交换学习等个人原因休学或保留学籍一个学期及以上的学生。</w:t>
      </w:r>
    </w:p>
    <w:p w14:paraId="331D02A5">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转院（系）转专业学生在上一学年所在院系参加素质综合测评。</w:t>
      </w:r>
    </w:p>
    <w:p w14:paraId="196AD946">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学生素质综合测评应遵循公开、公正、公平的原则。</w:t>
      </w:r>
    </w:p>
    <w:p w14:paraId="0FE900C3">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实施细则为北京大学外国语学院进行学生素质综合测评的指导意见，各系（所、中心）可结合实际情况，在不违背本实施细则的基础上制定各系（所、中心）实施办法，在实施范围内公布并征得多数同意后方可实施。</w:t>
      </w:r>
    </w:p>
    <w:p w14:paraId="10B66B35">
      <w:pPr>
        <w:pStyle w:val="16"/>
        <w:jc w:val="center"/>
        <w:rPr>
          <w:rFonts w:hAnsi="宋体"/>
          <w:b/>
          <w:color w:val="000000" w:themeColor="text1"/>
          <w:sz w:val="28"/>
          <w:szCs w:val="28"/>
          <w:highlight w:val="none"/>
          <w14:textFill>
            <w14:solidFill>
              <w14:schemeClr w14:val="tx1"/>
            </w14:solidFill>
          </w14:textFill>
        </w:rPr>
      </w:pPr>
    </w:p>
    <w:p w14:paraId="0E66A17B">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第二章 测评内容</w:t>
      </w:r>
    </w:p>
    <w:p w14:paraId="4F0FB59D">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学生素质综合测评内容包括基本素质（F</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）、学业学术（F</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）和实践能力</w:t>
      </w:r>
      <w:r>
        <w:rPr>
          <w:rFonts w:hint="eastAsia" w:hAnsi="宋体"/>
          <w:color w:val="000000" w:themeColor="text1"/>
          <w:highlight w:val="none"/>
          <w:lang w:eastAsia="zh-CN"/>
          <w14:textFill>
            <w14:solidFill>
              <w14:schemeClr w14:val="tx1"/>
            </w14:solidFill>
          </w14:textFill>
        </w:rPr>
        <w:t>（</w:t>
      </w:r>
      <w:r>
        <w:rPr>
          <w:rFonts w:hAnsi="宋体"/>
          <w:color w:val="000000" w:themeColor="text1"/>
          <w:highlight w:val="none"/>
          <w14:textFill>
            <w14:solidFill>
              <w14:schemeClr w14:val="tx1"/>
            </w14:solidFill>
          </w14:textFill>
        </w:rPr>
        <w:t>F3</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三部分，测评结果由三部分加总，以百分制表示。三部分比例分别为：基本素质满分</w:t>
      </w:r>
      <w:r>
        <w:rPr>
          <w:rFonts w:hint="eastAsia" w:hAnsi="宋体"/>
          <w:color w:val="000000" w:themeColor="text1"/>
          <w:highlight w:val="none"/>
          <w:lang w:val="en-US" w:eastAsia="zh-CN"/>
          <w14:textFill>
            <w14:solidFill>
              <w14:schemeClr w14:val="tx1"/>
            </w14:solidFill>
          </w14:textFill>
        </w:rPr>
        <w:t>5</w:t>
      </w:r>
      <w:r>
        <w:rPr>
          <w:rFonts w:hint="eastAsia" w:hAnsi="宋体"/>
          <w:color w:val="000000" w:themeColor="text1"/>
          <w:highlight w:val="none"/>
          <w14:textFill>
            <w14:solidFill>
              <w14:schemeClr w14:val="tx1"/>
            </w14:solidFill>
          </w14:textFill>
        </w:rPr>
        <w:t>分，学业学术满分</w:t>
      </w:r>
      <w:r>
        <w:rPr>
          <w:rFonts w:hint="eastAsia" w:hAnsi="宋体"/>
          <w:color w:val="000000" w:themeColor="text1"/>
          <w:highlight w:val="none"/>
          <w:lang w:val="en-US" w:eastAsia="zh-CN"/>
          <w14:textFill>
            <w14:solidFill>
              <w14:schemeClr w14:val="tx1"/>
            </w14:solidFill>
          </w14:textFill>
        </w:rPr>
        <w:t>90</w:t>
      </w:r>
      <w:r>
        <w:rPr>
          <w:rFonts w:hint="eastAsia" w:hAnsi="宋体"/>
          <w:color w:val="000000" w:themeColor="text1"/>
          <w:highlight w:val="none"/>
          <w14:textFill>
            <w14:solidFill>
              <w14:schemeClr w14:val="tx1"/>
            </w14:solidFill>
          </w14:textFill>
        </w:rPr>
        <w:t>分，实践能力满分</w:t>
      </w:r>
      <w:r>
        <w:rPr>
          <w:rFonts w:hint="eastAsia" w:hAnsi="宋体"/>
          <w:color w:val="000000" w:themeColor="text1"/>
          <w:highlight w:val="none"/>
          <w:lang w:val="en-US" w:eastAsia="zh-CN"/>
          <w14:textFill>
            <w14:solidFill>
              <w14:schemeClr w14:val="tx1"/>
            </w14:solidFill>
          </w14:textFill>
        </w:rPr>
        <w:t>5</w:t>
      </w:r>
      <w:r>
        <w:rPr>
          <w:rFonts w:hint="eastAsia" w:hAnsi="宋体"/>
          <w:color w:val="000000" w:themeColor="text1"/>
          <w:highlight w:val="none"/>
          <w14:textFill>
            <w14:solidFill>
              <w14:schemeClr w14:val="tx1"/>
            </w14:solidFill>
          </w14:textFill>
        </w:rPr>
        <w:t>分。</w:t>
      </w:r>
    </w:p>
    <w:p w14:paraId="18AA666A">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素质综合测评最终结果为优秀、合格或不合格。其中，测评结果为优秀的比例不超过测评基本组织单位人数的20%。</w:t>
      </w:r>
    </w:p>
    <w:p w14:paraId="5A4DF04C">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基本素质测评不合格</w:t>
      </w:r>
      <w:bookmarkStart w:id="0" w:name="_GoBack"/>
      <w:bookmarkEnd w:id="0"/>
      <w:r>
        <w:rPr>
          <w:rFonts w:hint="eastAsia" w:hAnsi="宋体"/>
          <w:color w:val="000000" w:themeColor="text1"/>
          <w:highlight w:val="none"/>
          <w14:textFill>
            <w14:solidFill>
              <w14:schemeClr w14:val="tx1"/>
            </w14:solidFill>
          </w14:textFill>
        </w:rPr>
        <w:t>或学业学术测评不合格者，其素质综合测评不合格，且</w:t>
      </w:r>
      <w:r>
        <w:rPr>
          <w:rFonts w:hAnsi="宋体"/>
          <w:color w:val="000000" w:themeColor="text1"/>
          <w:highlight w:val="none"/>
          <w14:textFill>
            <w14:solidFill>
              <w14:schemeClr w14:val="tx1"/>
            </w14:solidFill>
          </w14:textFill>
        </w:rPr>
        <w:t>不</w:t>
      </w:r>
      <w:r>
        <w:rPr>
          <w:rFonts w:hint="eastAsia" w:hAnsi="宋体"/>
          <w:color w:val="000000" w:themeColor="text1"/>
          <w:highlight w:val="none"/>
          <w14:textFill>
            <w14:solidFill>
              <w14:schemeClr w14:val="tx1"/>
            </w14:solidFill>
          </w14:textFill>
        </w:rPr>
        <w:t>得</w:t>
      </w:r>
      <w:r>
        <w:rPr>
          <w:rFonts w:hAnsi="宋体"/>
          <w:color w:val="000000" w:themeColor="text1"/>
          <w:highlight w:val="none"/>
          <w14:textFill>
            <w14:solidFill>
              <w14:schemeClr w14:val="tx1"/>
            </w14:solidFill>
          </w14:textFill>
        </w:rPr>
        <w:t>参</w:t>
      </w:r>
      <w:r>
        <w:rPr>
          <w:rFonts w:hint="eastAsia" w:hAnsi="宋体"/>
          <w:color w:val="000000" w:themeColor="text1"/>
          <w:highlight w:val="none"/>
          <w14:textFill>
            <w14:solidFill>
              <w14:schemeClr w14:val="tx1"/>
            </w14:solidFill>
          </w14:textFill>
        </w:rPr>
        <w:t>加</w:t>
      </w:r>
      <w:r>
        <w:rPr>
          <w:rFonts w:hAnsi="宋体"/>
          <w:color w:val="000000" w:themeColor="text1"/>
          <w:highlight w:val="none"/>
          <w14:textFill>
            <w14:solidFill>
              <w14:schemeClr w14:val="tx1"/>
            </w14:solidFill>
          </w14:textFill>
        </w:rPr>
        <w:t>奖励奖学金评</w:t>
      </w:r>
      <w:r>
        <w:rPr>
          <w:rFonts w:hint="eastAsia" w:hAnsi="宋体"/>
          <w:color w:val="000000" w:themeColor="text1"/>
          <w:highlight w:val="none"/>
          <w14:textFill>
            <w14:solidFill>
              <w14:schemeClr w14:val="tx1"/>
            </w14:solidFill>
          </w14:textFill>
        </w:rPr>
        <w:t>选。</w:t>
      </w:r>
    </w:p>
    <w:p w14:paraId="30595687">
      <w:pPr>
        <w:pStyle w:val="16"/>
        <w:spacing w:line="360" w:lineRule="auto"/>
        <w:jc w:val="both"/>
        <w:rPr>
          <w:rFonts w:hAnsi="宋体"/>
          <w:color w:val="000000" w:themeColor="text1"/>
          <w:highlight w:val="none"/>
          <w14:textFill>
            <w14:solidFill>
              <w14:schemeClr w14:val="tx1"/>
            </w14:solidFill>
          </w14:textFill>
        </w:rPr>
      </w:pPr>
    </w:p>
    <w:p w14:paraId="47DB6B9B">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第三章 基本素质测评</w:t>
      </w:r>
      <w:r>
        <w:rPr>
          <w:rFonts w:hAnsi="宋体"/>
          <w:b/>
          <w:color w:val="000000" w:themeColor="text1"/>
          <w:sz w:val="28"/>
          <w:szCs w:val="28"/>
          <w:highlight w:val="none"/>
          <w14:textFill>
            <w14:solidFill>
              <w14:schemeClr w14:val="tx1"/>
            </w14:solidFill>
          </w14:textFill>
        </w:rPr>
        <w:t xml:space="preserve">F1 </w:t>
      </w:r>
    </w:p>
    <w:p w14:paraId="63557F41">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基本素质测评满分5分，</w:t>
      </w:r>
      <w:r>
        <w:rPr>
          <w:rFonts w:hAnsi="宋体"/>
          <w:color w:val="000000" w:themeColor="text1"/>
          <w:highlight w:val="none"/>
          <w14:textFill>
            <w14:solidFill>
              <w14:schemeClr w14:val="tx1"/>
            </w14:solidFill>
          </w14:textFill>
        </w:rPr>
        <w:t>参考</w:t>
      </w:r>
      <w:r>
        <w:rPr>
          <w:rFonts w:hint="eastAsia" w:hAnsi="宋体"/>
          <w:color w:val="000000" w:themeColor="text1"/>
          <w:highlight w:val="none"/>
          <w14:textFill>
            <w14:solidFill>
              <w14:schemeClr w14:val="tx1"/>
            </w14:solidFill>
          </w14:textFill>
        </w:rPr>
        <w:t>项目包括思想政治、行为规范、学习态度和身心健康四个方面，具体内容为：</w:t>
      </w:r>
      <w:r>
        <w:rPr>
          <w:rFonts w:hAnsi="宋体"/>
          <w:color w:val="000000" w:themeColor="text1"/>
          <w:highlight w:val="none"/>
          <w14:textFill>
            <w14:solidFill>
              <w14:schemeClr w14:val="tx1"/>
            </w14:solidFill>
          </w14:textFill>
        </w:rPr>
        <w:t xml:space="preserve"> </w:t>
      </w:r>
    </w:p>
    <w:p w14:paraId="323C0BB0">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1．思想政治</w:t>
      </w:r>
    </w:p>
    <w:p w14:paraId="2AE9750C">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（1）拥护中国共产党领导，认真学习贯彻党的基本理论、基本路线、基本方略，坚定中国特色社会主义道路自信、理论自信、制度自信、文化自信；</w:t>
      </w:r>
    </w:p>
    <w:p w14:paraId="2F534EAE">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（2）热爱社会主义祖国，弘扬中华民族精神，自觉维护国家利益和民族团结，自觉践行社会主义核心价值观，增强社会责任感；</w:t>
      </w:r>
    </w:p>
    <w:p w14:paraId="46268B95">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（3）关心集体，团队协作精神强，积极参加学校、院系、班级等组织的集体活动。</w:t>
      </w:r>
    </w:p>
    <w:p w14:paraId="52F7DD22">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2．行为规范</w:t>
      </w:r>
    </w:p>
    <w:p w14:paraId="357066E4">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（1）法治观念强，遵守宪法、法律、法规；</w:t>
      </w:r>
    </w:p>
    <w:p w14:paraId="5F3F49A9">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（2）注意提高个人修养，</w:t>
      </w:r>
      <w:r>
        <w:rPr>
          <w:rFonts w:hint="eastAsia"/>
          <w:color w:val="000000" w:themeColor="text1"/>
          <w:sz w:val="24"/>
          <w:highlight w:val="none"/>
          <w14:textFill>
            <w14:solidFill>
              <w14:schemeClr w14:val="tx1"/>
            </w14:solidFill>
          </w14:textFill>
        </w:rPr>
        <w:t>具有良好的行为习惯；</w:t>
      </w:r>
    </w:p>
    <w:p w14:paraId="1897D45D">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（3）遵守《</w:t>
      </w:r>
      <w:r>
        <w:rPr>
          <w:rFonts w:ascii="宋体" w:hAnsi="宋体"/>
          <w:color w:val="000000" w:themeColor="text1"/>
          <w:sz w:val="24"/>
          <w:highlight w:val="none"/>
          <w14:textFill>
            <w14:solidFill>
              <w14:schemeClr w14:val="tx1"/>
            </w14:solidFill>
          </w14:textFill>
        </w:rPr>
        <w:t>高等学校学生行为准则</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首都大学生文明公约</w:t>
      </w:r>
      <w:r>
        <w:rPr>
          <w:rFonts w:hint="eastAsia" w:ascii="宋体" w:hAnsi="宋体"/>
          <w:color w:val="000000" w:themeColor="text1"/>
          <w:sz w:val="24"/>
          <w:highlight w:val="none"/>
          <w14:textFill>
            <w14:solidFill>
              <w14:schemeClr w14:val="tx1"/>
            </w14:solidFill>
          </w14:textFill>
        </w:rPr>
        <w:t>》《北京大学章程》及学校制定的各项规章制度。</w:t>
      </w:r>
    </w:p>
    <w:p w14:paraId="1D173C50">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3．学习态度</w:t>
      </w:r>
    </w:p>
    <w:p w14:paraId="5565BDF6">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（1）坚持勤奋、严谨、求实、创新的优良学风，求真学问，练真本领；</w:t>
      </w:r>
    </w:p>
    <w:p w14:paraId="7B8FDA78">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（2）刻苦学习，勇于探索，努力掌握现代科学文化知识和专业技能；</w:t>
      </w:r>
    </w:p>
    <w:p w14:paraId="118E4967">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（3）遵守考试与学习纪律、学术规范，坚守学术道德，维护学术诚信。</w:t>
      </w:r>
    </w:p>
    <w:p w14:paraId="5A68741F">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4．身心健康</w:t>
      </w:r>
    </w:p>
    <w:p w14:paraId="58D7E90A">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（1）保持良好的生活状态和精神面貌，提高审美情趣；</w:t>
      </w:r>
    </w:p>
    <w:p w14:paraId="3AE4C054">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（2）注重心理品质建设，努力增强情绪控制力、挫折耐受力和社会适应能力，人际关系和谐； </w:t>
      </w:r>
    </w:p>
    <w:p w14:paraId="62D77C91">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（3）积极参加体育锻炼，完成体育达标要求。</w:t>
      </w:r>
    </w:p>
    <w:p w14:paraId="02B2194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基本素质测评由民主评议环节和平衡调整得分环节组成。民主评议环节由班主任组织</w:t>
      </w:r>
      <w:r>
        <w:rPr>
          <w:rFonts w:hAnsi="宋体"/>
          <w:color w:val="000000" w:themeColor="text1"/>
          <w:highlight w:val="none"/>
          <w14:textFill>
            <w14:solidFill>
              <w14:schemeClr w14:val="tx1"/>
            </w14:solidFill>
          </w14:textFill>
        </w:rPr>
        <w:t>开展</w:t>
      </w:r>
      <w:r>
        <w:rPr>
          <w:rFonts w:hint="eastAsia" w:hAnsi="宋体"/>
          <w:color w:val="000000" w:themeColor="text1"/>
          <w:highlight w:val="none"/>
          <w14:textFill>
            <w14:solidFill>
              <w14:schemeClr w14:val="tx1"/>
            </w14:solidFill>
          </w14:textFill>
        </w:rPr>
        <w:t>，每位</w:t>
      </w:r>
      <w:r>
        <w:rPr>
          <w:rFonts w:hAnsi="宋体"/>
          <w:color w:val="000000" w:themeColor="text1"/>
          <w:highlight w:val="none"/>
          <w14:textFill>
            <w14:solidFill>
              <w14:schemeClr w14:val="tx1"/>
            </w14:solidFill>
          </w14:textFill>
        </w:rPr>
        <w:t>同学</w:t>
      </w:r>
      <w:r>
        <w:rPr>
          <w:rFonts w:hint="eastAsia" w:hAnsi="宋体"/>
          <w:color w:val="000000" w:themeColor="text1"/>
          <w:highlight w:val="none"/>
          <w14:textFill>
            <w14:solidFill>
              <w14:schemeClr w14:val="tx1"/>
            </w14:solidFill>
          </w14:textFill>
        </w:rPr>
        <w:t>根据上述基本素质测评的</w:t>
      </w:r>
      <w:r>
        <w:rPr>
          <w:rFonts w:hAnsi="宋体"/>
          <w:color w:val="000000" w:themeColor="text1"/>
          <w:highlight w:val="none"/>
          <w14:textFill>
            <w14:solidFill>
              <w14:schemeClr w14:val="tx1"/>
            </w14:solidFill>
          </w14:textFill>
        </w:rPr>
        <w:t>参考</w:t>
      </w:r>
      <w:r>
        <w:rPr>
          <w:rFonts w:hint="eastAsia" w:hAnsi="宋体"/>
          <w:color w:val="000000" w:themeColor="text1"/>
          <w:highlight w:val="none"/>
          <w14:textFill>
            <w14:solidFill>
              <w14:schemeClr w14:val="tx1"/>
            </w14:solidFill>
          </w14:textFill>
        </w:rPr>
        <w:t>项目（即思想政治、行为规范、学习态度、身心健康）对</w:t>
      </w:r>
      <w:r>
        <w:rPr>
          <w:rFonts w:hAnsi="宋体"/>
          <w:color w:val="000000" w:themeColor="text1"/>
          <w:highlight w:val="none"/>
          <w14:textFill>
            <w14:solidFill>
              <w14:schemeClr w14:val="tx1"/>
            </w14:solidFill>
          </w14:textFill>
        </w:rPr>
        <w:t>全班同学</w:t>
      </w:r>
      <w:r>
        <w:rPr>
          <w:rFonts w:hint="eastAsia" w:hAnsi="宋体"/>
          <w:color w:val="000000" w:themeColor="text1"/>
          <w:highlight w:val="none"/>
          <w14:textFill>
            <w14:solidFill>
              <w14:schemeClr w14:val="tx1"/>
            </w14:solidFill>
          </w14:textFill>
        </w:rPr>
        <w:t>（含</w:t>
      </w:r>
      <w:r>
        <w:rPr>
          <w:rFonts w:hAnsi="宋体"/>
          <w:color w:val="000000" w:themeColor="text1"/>
          <w:highlight w:val="none"/>
          <w14:textFill>
            <w14:solidFill>
              <w14:schemeClr w14:val="tx1"/>
            </w14:solidFill>
          </w14:textFill>
        </w:rPr>
        <w:t>本人</w:t>
      </w:r>
      <w:r>
        <w:rPr>
          <w:rFonts w:hint="eastAsia" w:hAnsi="宋体"/>
          <w:color w:val="000000" w:themeColor="text1"/>
          <w:highlight w:val="none"/>
          <w14:textFill>
            <w14:solidFill>
              <w14:schemeClr w14:val="tx1"/>
            </w14:solidFill>
          </w14:textFill>
        </w:rPr>
        <w:t>）逐人分项评分，每人每项最高分数为25分，给分间隔建议为</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可结合实际情况去掉一至两个最高分和最低分后核算所有同学的四项得分之和，最后根据总分由高至低进行排序（排名可并列）；平衡调整得分环节根据名次由高至低得分从5分向下递减，每名次递减0.05分。平衡调整得分环节后，学生名次对应的最终分数即为该生基本素质总评成绩（</w:t>
      </w:r>
      <w:r>
        <w:rPr>
          <w:rFonts w:hAnsi="宋体" w:cs="Times New Roman"/>
          <w:color w:val="000000" w:themeColor="text1"/>
          <w:highlight w:val="none"/>
          <w14:textFill>
            <w14:solidFill>
              <w14:schemeClr w14:val="tx1"/>
            </w14:solidFill>
          </w14:textFill>
        </w:rPr>
        <w:t>F1</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 xml:space="preserve"> </w:t>
      </w:r>
    </w:p>
    <w:p w14:paraId="716C100A">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若有下列情况之一，基本素质总评为不合格，计为</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分：</w:t>
      </w:r>
      <w:r>
        <w:rPr>
          <w:rFonts w:hAnsi="宋体"/>
          <w:color w:val="000000" w:themeColor="text1"/>
          <w:highlight w:val="none"/>
          <w14:textFill>
            <w14:solidFill>
              <w14:schemeClr w14:val="tx1"/>
            </w14:solidFill>
          </w14:textFill>
        </w:rPr>
        <w:t xml:space="preserve"> </w:t>
      </w:r>
    </w:p>
    <w:p w14:paraId="19A22A26">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一、违反国家和地方政府法律法规，已经受到司法部门或公安机关处罚者；</w:t>
      </w:r>
    </w:p>
    <w:p w14:paraId="54DE132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二、违反校规校纪，受到学校纪律处分者；</w:t>
      </w:r>
    </w:p>
    <w:p w14:paraId="5DFDCBD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三、言行不当，给学校或集体造成不良社会影响者；</w:t>
      </w:r>
    </w:p>
    <w:p w14:paraId="72D6707D">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四、无故不参加基本素质测评者。</w:t>
      </w:r>
      <w:r>
        <w:rPr>
          <w:rFonts w:hAnsi="宋体"/>
          <w:color w:val="000000" w:themeColor="text1"/>
          <w:highlight w:val="none"/>
          <w14:textFill>
            <w14:solidFill>
              <w14:schemeClr w14:val="tx1"/>
            </w14:solidFill>
          </w14:textFill>
        </w:rPr>
        <w:t xml:space="preserve"> </w:t>
      </w:r>
    </w:p>
    <w:p w14:paraId="4D0488B2">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第十一条前三项由学院学生工作办公室负责认定；第四项由班主任负责审核认定：一般可先给未到会的同学打分，再进行核实其是否属于无故不参加。</w:t>
      </w:r>
    </w:p>
    <w:p w14:paraId="5528C0FA">
      <w:pPr>
        <w:pStyle w:val="16"/>
        <w:jc w:val="center"/>
        <w:rPr>
          <w:rFonts w:hAnsi="宋体"/>
          <w:b/>
          <w:color w:val="000000" w:themeColor="text1"/>
          <w:sz w:val="28"/>
          <w:szCs w:val="28"/>
          <w:highlight w:val="none"/>
          <w14:textFill>
            <w14:solidFill>
              <w14:schemeClr w14:val="tx1"/>
            </w14:solidFill>
          </w14:textFill>
        </w:rPr>
      </w:pPr>
    </w:p>
    <w:p w14:paraId="7FAD420C">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第四章 学业学术测评</w:t>
      </w:r>
      <w:r>
        <w:rPr>
          <w:rFonts w:hAnsi="宋体"/>
          <w:b/>
          <w:color w:val="000000" w:themeColor="text1"/>
          <w:sz w:val="28"/>
          <w:szCs w:val="28"/>
          <w:highlight w:val="none"/>
          <w14:textFill>
            <w14:solidFill>
              <w14:schemeClr w14:val="tx1"/>
            </w14:solidFill>
          </w14:textFill>
        </w:rPr>
        <w:t>F2</w:t>
      </w:r>
    </w:p>
    <w:p w14:paraId="404C1B56">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学业学术测评满分</w:t>
      </w:r>
      <w:r>
        <w:rPr>
          <w:rFonts w:hint="eastAsia" w:hAnsi="宋体"/>
          <w:color w:val="000000" w:themeColor="text1"/>
          <w:highlight w:val="none"/>
          <w:lang w:val="en-US" w:eastAsia="zh-CN"/>
          <w14:textFill>
            <w14:solidFill>
              <w14:schemeClr w14:val="tx1"/>
            </w14:solidFill>
          </w14:textFill>
        </w:rPr>
        <w:t>90</w:t>
      </w:r>
      <w:r>
        <w:rPr>
          <w:rFonts w:hint="eastAsia" w:hAnsi="宋体"/>
          <w:color w:val="000000" w:themeColor="text1"/>
          <w:highlight w:val="none"/>
          <w14:textFill>
            <w14:solidFill>
              <w14:schemeClr w14:val="tx1"/>
            </w14:solidFill>
          </w14:textFill>
        </w:rPr>
        <w:t>分，包括学业成绩（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）和学术科研（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）两部分。其中，学业成绩（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）指上一学年学生的课程成绩（系（所、中心）可具体规定学业成绩所纳入的课程范围）；学术科研（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）指上一学年学生发表学术论文、出版学术著作、参与课题研究、获得科技发明专利、在学术竞赛中获得名次或通过其他方式取得学术科研成果。学业成绩（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）和学术科研（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）分值占比由各系（所、中心）根据实际情况而定。</w:t>
      </w:r>
    </w:p>
    <w:p w14:paraId="134509AB">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）以课程绩点计分。其计算公式为：</w:t>
      </w:r>
    </w:p>
    <w:p w14:paraId="6A6E3255">
      <w:pPr>
        <w:ind w:firstLine="480" w:firstLineChars="200"/>
        <w:rPr>
          <w:color w:val="000000" w:themeColor="text1"/>
          <w:sz w:val="36"/>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本科生: </w:t>
      </w:r>
      <m:oMath>
        <m:sSub>
          <m:sSubPr>
            <m:ctrlPr>
              <w:rPr>
                <w:rFonts w:ascii="Cambria Math" w:hAnsi="Cambria Math"/>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F</m:t>
            </m:r>
            <m:ctrlPr>
              <w:rPr>
                <w:rFonts w:ascii="Cambria Math" w:hAnsi="Cambria Math"/>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2</m:t>
            </m:r>
            <m:r>
              <m:rPr/>
              <w:rPr>
                <w:rFonts w:hint="eastAsia" w:ascii="Cambria Math" w:hAnsi="Cambria Math" w:eastAsia="微软雅黑" w:cs="微软雅黑"/>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Sub>
      </m:oMath>
      <w:r>
        <w:rPr>
          <w:rFonts w:hint="eastAsia"/>
          <w:color w:val="000000" w:themeColor="text1"/>
          <w:sz w:val="28"/>
          <w:highlight w:val="none"/>
          <w14:textFill>
            <w14:solidFill>
              <w14:schemeClr w14:val="tx1"/>
            </w14:solidFill>
          </w14:textFill>
        </w:rPr>
        <w:t>=</w:t>
      </w:r>
      <w:r>
        <w:rPr>
          <w:color w:val="000000" w:themeColor="text1"/>
          <w:sz w:val="28"/>
          <w:highlight w:val="none"/>
          <w14:textFill>
            <w14:solidFill>
              <w14:schemeClr w14:val="tx1"/>
            </w14:solidFill>
          </w14:textFill>
        </w:rPr>
        <w:t>(</w:t>
      </w:r>
      <w:r>
        <w:rPr>
          <w:rFonts w:hint="eastAsia"/>
          <w:color w:val="000000" w:themeColor="text1"/>
          <w:sz w:val="28"/>
          <w:highlight w:val="none"/>
          <w14:textFill>
            <w14:solidFill>
              <w14:schemeClr w14:val="tx1"/>
            </w14:solidFill>
          </w14:textFill>
        </w:rPr>
        <w:t>α×</w:t>
      </w:r>
      <m:oMath>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m:t>
            </m:r>
            <m:r>
              <m:rPr/>
              <w:rPr>
                <w:rFonts w:hint="eastAsia" w:ascii="Cambria Math" w:hAnsi="Cambria Math"/>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X</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28"/>
          <w:highlight w:val="none"/>
          <w14:textFill>
            <w14:solidFill>
              <w14:schemeClr w14:val="tx1"/>
            </w14:solidFill>
          </w14:textFill>
        </w:rPr>
        <w:t>/</w:t>
      </w:r>
      <w:r>
        <w:rPr>
          <w:color w:val="000000" w:themeColor="text1"/>
          <w:sz w:val="18"/>
          <w:highlight w:val="none"/>
          <w14:textFill>
            <w14:solidFill>
              <w14:schemeClr w14:val="tx1"/>
            </w14:solidFill>
          </w14:textFill>
        </w:rPr>
        <w:t xml:space="preserve"> </w:t>
      </w:r>
      <m:oMath>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18"/>
          <w:highlight w:val="none"/>
          <w14:textFill>
            <w14:solidFill>
              <w14:schemeClr w14:val="tx1"/>
            </w14:solidFill>
          </w14:textFill>
        </w:rPr>
        <w:t>)</w:t>
      </w:r>
      <w:r>
        <w:rPr>
          <w:rFonts w:hint="eastAsia"/>
          <w:color w:val="000000" w:themeColor="text1"/>
          <w:sz w:val="28"/>
          <w:highlight w:val="none"/>
          <w14:textFill>
            <w14:solidFill>
              <w14:schemeClr w14:val="tx1"/>
            </w14:solidFill>
          </w14:textFill>
        </w:rPr>
        <w:t>/</w:t>
      </w:r>
      <w:r>
        <w:rPr>
          <w:color w:val="000000" w:themeColor="text1"/>
          <w:sz w:val="28"/>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，α为学业成绩（F2-1）分值，</w:t>
      </w:r>
      <w:r>
        <w:rPr>
          <w:rFonts w:ascii="宋体" w:hAnsi="宋体"/>
          <w:color w:val="000000" w:themeColor="text1"/>
          <w:position w:val="-12"/>
          <w:sz w:val="24"/>
          <w:highlight w:val="none"/>
          <w14:textFill>
            <w14:solidFill>
              <w14:schemeClr w14:val="tx1"/>
            </w14:solidFill>
          </w14:textFill>
        </w:rPr>
        <w:object>
          <v:shape id="_x0000_i1025" o:spt="75" type="#_x0000_t75" style="height:18pt;width:15pt;" o:ole="t" filled="f" o:preferrelative="t" stroked="f" coordsize="21600,21600">
            <v:path/>
            <v:fill on="f" focussize="0,0"/>
            <v:stroke on="f" joinstyle="miter"/>
            <v:imagedata r:id="rId6" o:title=""/>
            <o:lock v:ext="edit" aspectratio="t"/>
            <w10:wrap type="none"/>
            <w10:anchorlock/>
          </v:shape>
          <o:OLEObject Type="Embed" ProgID="Equation.DSMT4" ShapeID="_x0000_i1025" DrawAspect="Content" ObjectID="_1468075725" r:id="rId5">
            <o:LockedField>false</o:LockedField>
          </o:OLEObject>
        </w:object>
      </w:r>
      <w:r>
        <w:rPr>
          <w:rFonts w:hint="eastAsia" w:ascii="宋体" w:hAnsi="宋体"/>
          <w:color w:val="000000" w:themeColor="text1"/>
          <w:sz w:val="24"/>
          <w:highlight w:val="none"/>
          <w14:textFill>
            <w14:solidFill>
              <w14:schemeClr w14:val="tx1"/>
            </w14:solidFill>
          </w14:textFill>
        </w:rPr>
        <w:t>为上一学年</w:t>
      </w:r>
      <w:r>
        <w:rPr>
          <w:rFonts w:hint="eastAsia" w:hAnsi="宋体"/>
          <w:color w:val="000000" w:themeColor="text1"/>
          <w:sz w:val="24"/>
          <w:highlight w:val="none"/>
          <w14:textFill>
            <w14:solidFill>
              <w14:schemeClr w14:val="tx1"/>
            </w14:solidFill>
          </w14:textFill>
        </w:rPr>
        <w:t>该生该课程</w:t>
      </w:r>
      <w:r>
        <w:rPr>
          <w:rFonts w:hint="eastAsia" w:ascii="宋体" w:hAnsi="宋体"/>
          <w:color w:val="000000" w:themeColor="text1"/>
          <w:sz w:val="24"/>
          <w:highlight w:val="none"/>
          <w14:textFill>
            <w14:solidFill>
              <w14:schemeClr w14:val="tx1"/>
            </w14:solidFill>
          </w14:textFill>
        </w:rPr>
        <w:t>的绩点（满分4.0），</w:t>
      </w:r>
      <w:r>
        <w:rPr>
          <w:rFonts w:ascii="宋体" w:hAnsi="宋体"/>
          <w:color w:val="000000" w:themeColor="text1"/>
          <w:position w:val="-12"/>
          <w:sz w:val="24"/>
          <w:highlight w:val="none"/>
          <w14:textFill>
            <w14:solidFill>
              <w14:schemeClr w14:val="tx1"/>
            </w14:solidFill>
          </w14:textFill>
        </w:rPr>
        <w:object>
          <v:shape id="_x0000_i1026" o:spt="75" type="#_x0000_t75" style="height:18pt;width:11.25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rFonts w:hint="eastAsia" w:ascii="宋体" w:hAnsi="宋体"/>
          <w:color w:val="000000" w:themeColor="text1"/>
          <w:sz w:val="24"/>
          <w:highlight w:val="none"/>
          <w14:textFill>
            <w14:solidFill>
              <w14:schemeClr w14:val="tx1"/>
            </w14:solidFill>
          </w14:textFill>
        </w:rPr>
        <w:t>为该课程的学分数，</w:t>
      </w:r>
      <w:r>
        <w:rPr>
          <w:rFonts w:ascii="宋体" w:hAnsi="宋体"/>
          <w:color w:val="000000" w:themeColor="text1"/>
          <w:sz w:val="24"/>
          <w:highlight w:val="none"/>
          <w14:textFill>
            <w14:solidFill>
              <w14:schemeClr w14:val="tx1"/>
            </w14:solidFill>
          </w14:textFill>
        </w:rPr>
        <w:t>n</w:t>
      </w:r>
      <w:r>
        <w:rPr>
          <w:rFonts w:hint="eastAsia" w:ascii="宋体" w:hAnsi="宋体"/>
          <w:color w:val="000000" w:themeColor="text1"/>
          <w:sz w:val="24"/>
          <w:highlight w:val="none"/>
          <w14:textFill>
            <w14:solidFill>
              <w14:schemeClr w14:val="tx1"/>
            </w14:solidFill>
          </w14:textFill>
        </w:rPr>
        <w:t>为参加测评的课程总数。</w:t>
      </w:r>
    </w:p>
    <w:p w14:paraId="0D2F3DE4">
      <w:pPr>
        <w:spacing w:line="360" w:lineRule="auto"/>
        <w:ind w:firstLine="480" w:firstLineChars="200"/>
        <w:rPr>
          <w:rFonts w:ascii="宋体" w:hAnsi="宋体"/>
          <w:color w:val="000000" w:themeColor="text1"/>
          <w:sz w:val="24"/>
          <w:highlight w:val="none"/>
          <w14:textFill>
            <w14:solidFill>
              <w14:schemeClr w14:val="tx1"/>
            </w14:solidFill>
          </w14:textFill>
        </w:rPr>
      </w:pPr>
    </w:p>
    <w:p w14:paraId="27FA4E0B">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研究生：研究生课程以等级制方式记录，按照《北京大学研究生课程学习与成绩管理办法》执行成绩与课程绩点的对应换算，具体对应关系如下：</w:t>
      </w:r>
    </w:p>
    <w:p w14:paraId="50CE4A6A">
      <w:pPr>
        <w:pStyle w:val="16"/>
        <w:spacing w:line="360" w:lineRule="auto"/>
        <w:ind w:firstLine="480" w:firstLineChars="200"/>
        <w:jc w:val="both"/>
        <w:rPr>
          <w:rFonts w:hAnsi="宋体"/>
          <w:color w:val="000000" w:themeColor="text1"/>
          <w:highlight w:val="none"/>
          <w14:textFill>
            <w14:solidFill>
              <w14:schemeClr w14:val="tx1"/>
            </w14:solidFill>
          </w14:textFill>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565"/>
        <w:gridCol w:w="1565"/>
        <w:gridCol w:w="1565"/>
      </w:tblGrid>
      <w:tr w14:paraId="59A05227">
        <w:trPr>
          <w:cantSplit/>
          <w:jc w:val="center"/>
        </w:trPr>
        <w:tc>
          <w:tcPr>
            <w:tcW w:w="1565" w:type="dxa"/>
            <w:vAlign w:val="center"/>
          </w:tcPr>
          <w:p w14:paraId="45F597E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等级</w:t>
            </w:r>
          </w:p>
        </w:tc>
        <w:tc>
          <w:tcPr>
            <w:tcW w:w="1565" w:type="dxa"/>
            <w:vAlign w:val="center"/>
          </w:tcPr>
          <w:p w14:paraId="4045A0A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百分制成绩</w:t>
            </w:r>
          </w:p>
        </w:tc>
        <w:tc>
          <w:tcPr>
            <w:tcW w:w="1565" w:type="dxa"/>
            <w:vAlign w:val="center"/>
          </w:tcPr>
          <w:p w14:paraId="79F61E5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课程绩点</w:t>
            </w:r>
          </w:p>
        </w:tc>
        <w:tc>
          <w:tcPr>
            <w:tcW w:w="1565" w:type="dxa"/>
            <w:vAlign w:val="center"/>
          </w:tcPr>
          <w:p w14:paraId="2F388A38">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说明</w:t>
            </w:r>
          </w:p>
        </w:tc>
      </w:tr>
      <w:tr w14:paraId="26969ECF">
        <w:trPr>
          <w:cantSplit/>
          <w:jc w:val="center"/>
        </w:trPr>
        <w:tc>
          <w:tcPr>
            <w:tcW w:w="1565" w:type="dxa"/>
            <w:vAlign w:val="center"/>
          </w:tcPr>
          <w:p w14:paraId="04DF641D">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r>
              <w:rPr>
                <w:rFonts w:hAnsi="宋体"/>
                <w:color w:val="000000" w:themeColor="text1"/>
                <w:highlight w:val="none"/>
                <w14:textFill>
                  <w14:solidFill>
                    <w14:schemeClr w14:val="tx1"/>
                  </w14:solidFill>
                </w14:textFill>
              </w:rPr>
              <w:t>+</w:t>
            </w:r>
          </w:p>
        </w:tc>
        <w:tc>
          <w:tcPr>
            <w:tcW w:w="1565" w:type="dxa"/>
            <w:vMerge w:val="restart"/>
            <w:vAlign w:val="center"/>
          </w:tcPr>
          <w:p w14:paraId="51FC2B0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w:t>
            </w:r>
            <w:r>
              <w:rPr>
                <w:rFonts w:hAnsi="宋体"/>
                <w:color w:val="000000" w:themeColor="text1"/>
                <w:highlight w:val="none"/>
                <w14:textFill>
                  <w14:solidFill>
                    <w14:schemeClr w14:val="tx1"/>
                  </w14:solidFill>
                </w14:textFill>
              </w:rPr>
              <w:t>5-100</w:t>
            </w:r>
          </w:p>
        </w:tc>
        <w:tc>
          <w:tcPr>
            <w:tcW w:w="1565" w:type="dxa"/>
            <w:vMerge w:val="restart"/>
            <w:vAlign w:val="center"/>
          </w:tcPr>
          <w:p w14:paraId="424E3E1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w:t>
            </w:r>
            <w:r>
              <w:rPr>
                <w:rFonts w:hAnsi="宋体"/>
                <w:color w:val="000000" w:themeColor="text1"/>
                <w:highlight w:val="none"/>
                <w14:textFill>
                  <w14:solidFill>
                    <w14:schemeClr w14:val="tx1"/>
                  </w14:solidFill>
                </w14:textFill>
              </w:rPr>
              <w:t>.0</w:t>
            </w:r>
          </w:p>
        </w:tc>
        <w:tc>
          <w:tcPr>
            <w:tcW w:w="1565" w:type="dxa"/>
            <w:vMerge w:val="restart"/>
            <w:vAlign w:val="center"/>
          </w:tcPr>
          <w:p w14:paraId="5C469697">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优秀</w:t>
            </w:r>
          </w:p>
        </w:tc>
      </w:tr>
      <w:tr w14:paraId="2847FD5D">
        <w:trPr>
          <w:cantSplit/>
          <w:jc w:val="center"/>
        </w:trPr>
        <w:tc>
          <w:tcPr>
            <w:tcW w:w="1565" w:type="dxa"/>
            <w:vAlign w:val="center"/>
          </w:tcPr>
          <w:p w14:paraId="76C4E3B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p>
        </w:tc>
        <w:tc>
          <w:tcPr>
            <w:tcW w:w="1565" w:type="dxa"/>
            <w:vMerge w:val="continue"/>
            <w:vAlign w:val="center"/>
          </w:tcPr>
          <w:p w14:paraId="2E74F66F">
            <w:pPr>
              <w:pStyle w:val="16"/>
              <w:spacing w:line="360" w:lineRule="auto"/>
              <w:jc w:val="center"/>
              <w:rPr>
                <w:rFonts w:hAnsi="宋体"/>
                <w:color w:val="000000" w:themeColor="text1"/>
                <w:highlight w:val="none"/>
                <w14:textFill>
                  <w14:solidFill>
                    <w14:schemeClr w14:val="tx1"/>
                  </w14:solidFill>
                </w14:textFill>
              </w:rPr>
            </w:pPr>
          </w:p>
        </w:tc>
        <w:tc>
          <w:tcPr>
            <w:tcW w:w="1565" w:type="dxa"/>
            <w:vMerge w:val="continue"/>
            <w:vAlign w:val="center"/>
          </w:tcPr>
          <w:p w14:paraId="39189839">
            <w:pPr>
              <w:pStyle w:val="16"/>
              <w:spacing w:line="360" w:lineRule="auto"/>
              <w:jc w:val="center"/>
              <w:rPr>
                <w:rFonts w:hAnsi="宋体"/>
                <w:color w:val="000000" w:themeColor="text1"/>
                <w:highlight w:val="none"/>
                <w14:textFill>
                  <w14:solidFill>
                    <w14:schemeClr w14:val="tx1"/>
                  </w14:solidFill>
                </w14:textFill>
              </w:rPr>
            </w:pPr>
          </w:p>
        </w:tc>
        <w:tc>
          <w:tcPr>
            <w:tcW w:w="1565" w:type="dxa"/>
            <w:vMerge w:val="continue"/>
            <w:vAlign w:val="center"/>
          </w:tcPr>
          <w:p w14:paraId="4B301C62">
            <w:pPr>
              <w:pStyle w:val="16"/>
              <w:spacing w:line="360" w:lineRule="auto"/>
              <w:jc w:val="center"/>
              <w:rPr>
                <w:rFonts w:hAnsi="宋体"/>
                <w:color w:val="000000" w:themeColor="text1"/>
                <w:highlight w:val="none"/>
                <w14:textFill>
                  <w14:solidFill>
                    <w14:schemeClr w14:val="tx1"/>
                  </w14:solidFill>
                </w14:textFill>
              </w:rPr>
            </w:pPr>
          </w:p>
        </w:tc>
      </w:tr>
      <w:tr w14:paraId="11690171">
        <w:trPr>
          <w:cantSplit/>
          <w:jc w:val="center"/>
        </w:trPr>
        <w:tc>
          <w:tcPr>
            <w:tcW w:w="1565" w:type="dxa"/>
            <w:vAlign w:val="center"/>
          </w:tcPr>
          <w:p w14:paraId="3E575BC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r>
              <w:rPr>
                <w:rFonts w:hAnsi="宋体"/>
                <w:color w:val="000000" w:themeColor="text1"/>
                <w:highlight w:val="none"/>
                <w14:textFill>
                  <w14:solidFill>
                    <w14:schemeClr w14:val="tx1"/>
                  </w14:solidFill>
                </w14:textFill>
              </w:rPr>
              <w:t>-</w:t>
            </w:r>
          </w:p>
        </w:tc>
        <w:tc>
          <w:tcPr>
            <w:tcW w:w="1565" w:type="dxa"/>
            <w:vAlign w:val="center"/>
          </w:tcPr>
          <w:p w14:paraId="5ED73F6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94</w:t>
            </w:r>
          </w:p>
        </w:tc>
        <w:tc>
          <w:tcPr>
            <w:tcW w:w="1565" w:type="dxa"/>
            <w:vAlign w:val="center"/>
          </w:tcPr>
          <w:p w14:paraId="43C8A9F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.7</w:t>
            </w:r>
          </w:p>
        </w:tc>
        <w:tc>
          <w:tcPr>
            <w:tcW w:w="1565" w:type="dxa"/>
            <w:vMerge w:val="continue"/>
            <w:vAlign w:val="center"/>
          </w:tcPr>
          <w:p w14:paraId="4B092A89">
            <w:pPr>
              <w:pStyle w:val="16"/>
              <w:spacing w:line="360" w:lineRule="auto"/>
              <w:jc w:val="center"/>
              <w:rPr>
                <w:rFonts w:hAnsi="宋体"/>
                <w:color w:val="000000" w:themeColor="text1"/>
                <w:highlight w:val="none"/>
                <w14:textFill>
                  <w14:solidFill>
                    <w14:schemeClr w14:val="tx1"/>
                  </w14:solidFill>
                </w14:textFill>
              </w:rPr>
            </w:pPr>
          </w:p>
        </w:tc>
      </w:tr>
      <w:tr w14:paraId="5148F25F">
        <w:trPr>
          <w:cantSplit/>
          <w:jc w:val="center"/>
        </w:trPr>
        <w:tc>
          <w:tcPr>
            <w:tcW w:w="1565" w:type="dxa"/>
            <w:vAlign w:val="center"/>
          </w:tcPr>
          <w:p w14:paraId="70404EA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r>
              <w:rPr>
                <w:rFonts w:hAnsi="宋体"/>
                <w:color w:val="000000" w:themeColor="text1"/>
                <w:highlight w:val="none"/>
                <w14:textFill>
                  <w14:solidFill>
                    <w14:schemeClr w14:val="tx1"/>
                  </w14:solidFill>
                </w14:textFill>
              </w:rPr>
              <w:t>+</w:t>
            </w:r>
          </w:p>
        </w:tc>
        <w:tc>
          <w:tcPr>
            <w:tcW w:w="1565" w:type="dxa"/>
            <w:vAlign w:val="center"/>
          </w:tcPr>
          <w:p w14:paraId="586F7A0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Ansi="宋体"/>
                <w:color w:val="000000" w:themeColor="text1"/>
                <w:highlight w:val="none"/>
                <w14:textFill>
                  <w14:solidFill>
                    <w14:schemeClr w14:val="tx1"/>
                  </w14:solidFill>
                </w14:textFill>
              </w:rPr>
              <w:t>5</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89</w:t>
            </w:r>
          </w:p>
        </w:tc>
        <w:tc>
          <w:tcPr>
            <w:tcW w:w="1565" w:type="dxa"/>
            <w:vAlign w:val="center"/>
          </w:tcPr>
          <w:p w14:paraId="5DF94C2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.3</w:t>
            </w:r>
          </w:p>
        </w:tc>
        <w:tc>
          <w:tcPr>
            <w:tcW w:w="1565" w:type="dxa"/>
            <w:vMerge w:val="restart"/>
            <w:vAlign w:val="center"/>
          </w:tcPr>
          <w:p w14:paraId="19E075F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良好</w:t>
            </w:r>
          </w:p>
        </w:tc>
      </w:tr>
      <w:tr w14:paraId="7409B539">
        <w:trPr>
          <w:cantSplit/>
          <w:jc w:val="center"/>
        </w:trPr>
        <w:tc>
          <w:tcPr>
            <w:tcW w:w="1565" w:type="dxa"/>
            <w:vAlign w:val="center"/>
          </w:tcPr>
          <w:p w14:paraId="2E97BC7E">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p>
        </w:tc>
        <w:tc>
          <w:tcPr>
            <w:tcW w:w="1565" w:type="dxa"/>
            <w:vAlign w:val="center"/>
          </w:tcPr>
          <w:p w14:paraId="5C35F47B">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80-</w:t>
            </w:r>
            <w:r>
              <w:rPr>
                <w:rFonts w:hAnsi="宋体"/>
                <w:color w:val="000000" w:themeColor="text1"/>
                <w:highlight w:val="none"/>
                <w14:textFill>
                  <w14:solidFill>
                    <w14:schemeClr w14:val="tx1"/>
                  </w14:solidFill>
                </w14:textFill>
              </w:rPr>
              <w:t>84</w:t>
            </w:r>
          </w:p>
        </w:tc>
        <w:tc>
          <w:tcPr>
            <w:tcW w:w="1565" w:type="dxa"/>
            <w:vAlign w:val="center"/>
          </w:tcPr>
          <w:p w14:paraId="60A1D4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.0</w:t>
            </w:r>
          </w:p>
        </w:tc>
        <w:tc>
          <w:tcPr>
            <w:tcW w:w="1565" w:type="dxa"/>
            <w:vMerge w:val="continue"/>
            <w:vAlign w:val="center"/>
          </w:tcPr>
          <w:p w14:paraId="12108EB7">
            <w:pPr>
              <w:pStyle w:val="16"/>
              <w:spacing w:line="360" w:lineRule="auto"/>
              <w:jc w:val="center"/>
              <w:rPr>
                <w:rFonts w:hAnsi="宋体"/>
                <w:color w:val="000000" w:themeColor="text1"/>
                <w:highlight w:val="none"/>
                <w14:textFill>
                  <w14:solidFill>
                    <w14:schemeClr w14:val="tx1"/>
                  </w14:solidFill>
                </w14:textFill>
              </w:rPr>
            </w:pPr>
          </w:p>
        </w:tc>
      </w:tr>
      <w:tr w14:paraId="78C9070C">
        <w:trPr>
          <w:cantSplit/>
          <w:jc w:val="center"/>
        </w:trPr>
        <w:tc>
          <w:tcPr>
            <w:tcW w:w="1565" w:type="dxa"/>
            <w:vAlign w:val="center"/>
          </w:tcPr>
          <w:p w14:paraId="74F2F1D7">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r>
              <w:rPr>
                <w:rFonts w:hAnsi="宋体"/>
                <w:color w:val="000000" w:themeColor="text1"/>
                <w:highlight w:val="none"/>
                <w14:textFill>
                  <w14:solidFill>
                    <w14:schemeClr w14:val="tx1"/>
                  </w14:solidFill>
                </w14:textFill>
              </w:rPr>
              <w:t>-</w:t>
            </w:r>
          </w:p>
        </w:tc>
        <w:tc>
          <w:tcPr>
            <w:tcW w:w="1565" w:type="dxa"/>
            <w:vAlign w:val="center"/>
          </w:tcPr>
          <w:p w14:paraId="36B7AEB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w:t>
            </w:r>
            <w:r>
              <w:rPr>
                <w:rFonts w:hAnsi="宋体"/>
                <w:color w:val="000000" w:themeColor="text1"/>
                <w:highlight w:val="none"/>
                <w14:textFill>
                  <w14:solidFill>
                    <w14:schemeClr w14:val="tx1"/>
                  </w14:solidFill>
                </w14:textFill>
              </w:rPr>
              <w:t>7</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79</w:t>
            </w:r>
          </w:p>
        </w:tc>
        <w:tc>
          <w:tcPr>
            <w:tcW w:w="1565" w:type="dxa"/>
            <w:vAlign w:val="center"/>
          </w:tcPr>
          <w:p w14:paraId="0DFDAF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.7</w:t>
            </w:r>
          </w:p>
        </w:tc>
        <w:tc>
          <w:tcPr>
            <w:tcW w:w="1565" w:type="dxa"/>
            <w:vMerge w:val="continue"/>
            <w:vAlign w:val="center"/>
          </w:tcPr>
          <w:p w14:paraId="3C98EA3A">
            <w:pPr>
              <w:pStyle w:val="16"/>
              <w:spacing w:line="360" w:lineRule="auto"/>
              <w:jc w:val="center"/>
              <w:rPr>
                <w:rFonts w:hAnsi="宋体"/>
                <w:color w:val="000000" w:themeColor="text1"/>
                <w:highlight w:val="none"/>
                <w14:textFill>
                  <w14:solidFill>
                    <w14:schemeClr w14:val="tx1"/>
                  </w14:solidFill>
                </w14:textFill>
              </w:rPr>
            </w:pPr>
          </w:p>
        </w:tc>
      </w:tr>
      <w:tr w14:paraId="2861E9AB">
        <w:trPr>
          <w:cantSplit/>
          <w:jc w:val="center"/>
        </w:trPr>
        <w:tc>
          <w:tcPr>
            <w:tcW w:w="1565" w:type="dxa"/>
            <w:vAlign w:val="center"/>
          </w:tcPr>
          <w:p w14:paraId="35E1ECF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vAlign w:val="center"/>
          </w:tcPr>
          <w:p w14:paraId="26155BF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76</w:t>
            </w:r>
          </w:p>
        </w:tc>
        <w:tc>
          <w:tcPr>
            <w:tcW w:w="1565" w:type="dxa"/>
            <w:vAlign w:val="center"/>
          </w:tcPr>
          <w:p w14:paraId="46945EA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.3</w:t>
            </w:r>
          </w:p>
        </w:tc>
        <w:tc>
          <w:tcPr>
            <w:tcW w:w="1565" w:type="dxa"/>
            <w:vMerge w:val="restart"/>
            <w:vAlign w:val="center"/>
          </w:tcPr>
          <w:p w14:paraId="58A19628">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一般</w:t>
            </w:r>
          </w:p>
        </w:tc>
      </w:tr>
      <w:tr w14:paraId="5049FB4E">
        <w:trPr>
          <w:cantSplit/>
          <w:jc w:val="center"/>
        </w:trPr>
        <w:tc>
          <w:tcPr>
            <w:tcW w:w="1565" w:type="dxa"/>
            <w:vAlign w:val="center"/>
          </w:tcPr>
          <w:p w14:paraId="1C5B1B4C">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vAlign w:val="center"/>
          </w:tcPr>
          <w:p w14:paraId="70DF21A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r>
              <w:rPr>
                <w:rFonts w:hAnsi="宋体"/>
                <w:color w:val="000000" w:themeColor="text1"/>
                <w:highlight w:val="none"/>
                <w14:textFill>
                  <w14:solidFill>
                    <w14:schemeClr w14:val="tx1"/>
                  </w14:solidFill>
                </w14:textFill>
              </w:rPr>
              <w:t>72</w:t>
            </w:r>
          </w:p>
        </w:tc>
        <w:tc>
          <w:tcPr>
            <w:tcW w:w="1565" w:type="dxa"/>
            <w:vAlign w:val="center"/>
          </w:tcPr>
          <w:p w14:paraId="798DBCE9">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.0</w:t>
            </w:r>
          </w:p>
        </w:tc>
        <w:tc>
          <w:tcPr>
            <w:tcW w:w="1565" w:type="dxa"/>
            <w:vMerge w:val="continue"/>
            <w:vAlign w:val="center"/>
          </w:tcPr>
          <w:p w14:paraId="68AD3172">
            <w:pPr>
              <w:pStyle w:val="16"/>
              <w:spacing w:line="360" w:lineRule="auto"/>
              <w:jc w:val="center"/>
              <w:rPr>
                <w:rFonts w:hAnsi="宋体"/>
                <w:color w:val="000000" w:themeColor="text1"/>
                <w:highlight w:val="none"/>
                <w14:textFill>
                  <w14:solidFill>
                    <w14:schemeClr w14:val="tx1"/>
                  </w14:solidFill>
                </w14:textFill>
              </w:rPr>
            </w:pPr>
          </w:p>
        </w:tc>
      </w:tr>
      <w:tr w14:paraId="60683447">
        <w:trPr>
          <w:cantSplit/>
          <w:jc w:val="center"/>
        </w:trPr>
        <w:tc>
          <w:tcPr>
            <w:tcW w:w="1565" w:type="dxa"/>
            <w:vAlign w:val="center"/>
          </w:tcPr>
          <w:p w14:paraId="29493DD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vAlign w:val="center"/>
          </w:tcPr>
          <w:p w14:paraId="492223F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w:t>
            </w:r>
            <w:r>
              <w:rPr>
                <w:rFonts w:hAnsi="宋体"/>
                <w:color w:val="000000" w:themeColor="text1"/>
                <w:highlight w:val="none"/>
                <w14:textFill>
                  <w14:solidFill>
                    <w14:schemeClr w14:val="tx1"/>
                  </w14:solidFill>
                </w14:textFill>
              </w:rPr>
              <w:t>7</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69</w:t>
            </w:r>
          </w:p>
        </w:tc>
        <w:tc>
          <w:tcPr>
            <w:tcW w:w="1565" w:type="dxa"/>
            <w:vAlign w:val="center"/>
          </w:tcPr>
          <w:p w14:paraId="4A8E5040">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w:t>
            </w:r>
            <w:r>
              <w:rPr>
                <w:rFonts w:hAnsi="宋体"/>
                <w:color w:val="000000" w:themeColor="text1"/>
                <w:highlight w:val="none"/>
                <w14:textFill>
                  <w14:solidFill>
                    <w14:schemeClr w14:val="tx1"/>
                  </w14:solidFill>
                </w14:textFill>
              </w:rPr>
              <w:t>.7</w:t>
            </w:r>
          </w:p>
        </w:tc>
        <w:tc>
          <w:tcPr>
            <w:tcW w:w="1565" w:type="dxa"/>
            <w:vMerge w:val="continue"/>
            <w:vAlign w:val="center"/>
          </w:tcPr>
          <w:p w14:paraId="7CD4F8BD">
            <w:pPr>
              <w:pStyle w:val="16"/>
              <w:spacing w:line="360" w:lineRule="auto"/>
              <w:jc w:val="center"/>
              <w:rPr>
                <w:rFonts w:hAnsi="宋体"/>
                <w:color w:val="000000" w:themeColor="text1"/>
                <w:highlight w:val="none"/>
                <w14:textFill>
                  <w14:solidFill>
                    <w14:schemeClr w14:val="tx1"/>
                  </w14:solidFill>
                </w14:textFill>
              </w:rPr>
            </w:pPr>
          </w:p>
        </w:tc>
      </w:tr>
      <w:tr w14:paraId="65374347">
        <w:trPr>
          <w:cantSplit/>
          <w:jc w:val="center"/>
        </w:trPr>
        <w:tc>
          <w:tcPr>
            <w:tcW w:w="1565" w:type="dxa"/>
            <w:vAlign w:val="center"/>
          </w:tcPr>
          <w:p w14:paraId="16F9B227">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D+</w:t>
            </w:r>
          </w:p>
        </w:tc>
        <w:tc>
          <w:tcPr>
            <w:tcW w:w="1565" w:type="dxa"/>
            <w:vAlign w:val="center"/>
          </w:tcPr>
          <w:p w14:paraId="17E7CA3D">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63-66</w:t>
            </w:r>
          </w:p>
        </w:tc>
        <w:tc>
          <w:tcPr>
            <w:tcW w:w="1565" w:type="dxa"/>
            <w:vAlign w:val="center"/>
          </w:tcPr>
          <w:p w14:paraId="503A576E">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w:t>
            </w:r>
          </w:p>
        </w:tc>
        <w:tc>
          <w:tcPr>
            <w:tcW w:w="1565" w:type="dxa"/>
            <w:vMerge w:val="restart"/>
            <w:vAlign w:val="center"/>
          </w:tcPr>
          <w:p w14:paraId="5F447C80">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及格</w:t>
            </w:r>
          </w:p>
        </w:tc>
      </w:tr>
      <w:tr w14:paraId="0FD2A4AD">
        <w:trPr>
          <w:cantSplit/>
          <w:jc w:val="center"/>
        </w:trPr>
        <w:tc>
          <w:tcPr>
            <w:tcW w:w="1565" w:type="dxa"/>
            <w:vAlign w:val="center"/>
          </w:tcPr>
          <w:p w14:paraId="7AB2FF2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D</w:t>
            </w:r>
          </w:p>
        </w:tc>
        <w:tc>
          <w:tcPr>
            <w:tcW w:w="1565" w:type="dxa"/>
            <w:vAlign w:val="center"/>
          </w:tcPr>
          <w:p w14:paraId="7206CA2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62</w:t>
            </w:r>
          </w:p>
        </w:tc>
        <w:tc>
          <w:tcPr>
            <w:tcW w:w="1565" w:type="dxa"/>
            <w:vAlign w:val="center"/>
          </w:tcPr>
          <w:p w14:paraId="4725A8BE">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w:t>
            </w:r>
            <w:r>
              <w:rPr>
                <w:rFonts w:hAnsi="宋体"/>
                <w:color w:val="000000" w:themeColor="text1"/>
                <w:highlight w:val="none"/>
                <w14:textFill>
                  <w14:solidFill>
                    <w14:schemeClr w14:val="tx1"/>
                  </w14:solidFill>
                </w14:textFill>
              </w:rPr>
              <w:t>.0</w:t>
            </w:r>
          </w:p>
        </w:tc>
        <w:tc>
          <w:tcPr>
            <w:tcW w:w="1565" w:type="dxa"/>
            <w:vMerge w:val="continue"/>
            <w:vAlign w:val="center"/>
          </w:tcPr>
          <w:p w14:paraId="5EDEAB0E">
            <w:pPr>
              <w:pStyle w:val="16"/>
              <w:spacing w:line="360" w:lineRule="auto"/>
              <w:jc w:val="center"/>
              <w:rPr>
                <w:rFonts w:hAnsi="宋体"/>
                <w:color w:val="000000" w:themeColor="text1"/>
                <w:highlight w:val="none"/>
                <w14:textFill>
                  <w14:solidFill>
                    <w14:schemeClr w14:val="tx1"/>
                  </w14:solidFill>
                </w14:textFill>
              </w:rPr>
            </w:pPr>
          </w:p>
        </w:tc>
      </w:tr>
      <w:tr w14:paraId="6F321462">
        <w:trPr>
          <w:cantSplit/>
          <w:jc w:val="center"/>
        </w:trPr>
        <w:tc>
          <w:tcPr>
            <w:tcW w:w="1565" w:type="dxa"/>
            <w:vAlign w:val="center"/>
          </w:tcPr>
          <w:p w14:paraId="5B906D6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F</w:t>
            </w:r>
          </w:p>
        </w:tc>
        <w:tc>
          <w:tcPr>
            <w:tcW w:w="1565" w:type="dxa"/>
            <w:vAlign w:val="center"/>
          </w:tcPr>
          <w:p w14:paraId="5EEE4F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0-</w:t>
            </w:r>
            <w:r>
              <w:rPr>
                <w:rFonts w:hAnsi="宋体"/>
                <w:color w:val="000000" w:themeColor="text1"/>
                <w:highlight w:val="none"/>
                <w14:textFill>
                  <w14:solidFill>
                    <w14:schemeClr w14:val="tx1"/>
                  </w14:solidFill>
                </w14:textFill>
              </w:rPr>
              <w:t>59</w:t>
            </w:r>
          </w:p>
        </w:tc>
        <w:tc>
          <w:tcPr>
            <w:tcW w:w="1565" w:type="dxa"/>
            <w:vAlign w:val="center"/>
          </w:tcPr>
          <w:p w14:paraId="0230808C">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0</w:t>
            </w:r>
          </w:p>
        </w:tc>
        <w:tc>
          <w:tcPr>
            <w:tcW w:w="1565" w:type="dxa"/>
            <w:vAlign w:val="center"/>
          </w:tcPr>
          <w:p w14:paraId="2EB3B42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不及格</w:t>
            </w:r>
          </w:p>
        </w:tc>
      </w:tr>
    </w:tbl>
    <w:p w14:paraId="4F9DCA98">
      <w:pPr>
        <w:rPr>
          <w:rFonts w:ascii="宋体"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根据每门课程对应的绩点，计算其</w:t>
      </w:r>
      <m:oMath>
        <m:sSub>
          <m:sSubPr>
            <m:ctrlPr>
              <w:rPr>
                <w:rFonts w:ascii="Cambria Math" w:hAnsi="Cambria Math"/>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F</m:t>
            </m:r>
            <m:ctrlPr>
              <w:rPr>
                <w:rFonts w:ascii="Cambria Math" w:hAnsi="Cambria Math"/>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2</m:t>
            </m:r>
            <m:r>
              <m:rPr/>
              <w:rPr>
                <w:rFonts w:hint="eastAsia" w:ascii="Cambria Math" w:hAnsi="Cambria Math" w:eastAsia="微软雅黑" w:cs="微软雅黑"/>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Sub>
      </m:oMath>
      <w:r>
        <w:rPr>
          <w:rFonts w:hint="eastAsia"/>
          <w:color w:val="000000" w:themeColor="text1"/>
          <w:sz w:val="28"/>
          <w:highlight w:val="none"/>
          <w14:textFill>
            <w14:solidFill>
              <w14:schemeClr w14:val="tx1"/>
            </w14:solidFill>
          </w14:textFill>
        </w:rPr>
        <w:t>=</w:t>
      </w:r>
      <w:r>
        <w:rPr>
          <w:color w:val="000000" w:themeColor="text1"/>
          <w:sz w:val="28"/>
          <w:highlight w:val="none"/>
          <w14:textFill>
            <w14:solidFill>
              <w14:schemeClr w14:val="tx1"/>
            </w14:solidFill>
          </w14:textFill>
        </w:rPr>
        <w:t>(</w:t>
      </w:r>
      <w:r>
        <w:rPr>
          <w:rFonts w:hint="eastAsia"/>
          <w:color w:val="000000" w:themeColor="text1"/>
          <w:sz w:val="28"/>
          <w:highlight w:val="none"/>
          <w14:textFill>
            <w14:solidFill>
              <w14:schemeClr w14:val="tx1"/>
            </w14:solidFill>
          </w14:textFill>
        </w:rPr>
        <w:t>α×</w:t>
      </w:r>
      <m:oMath>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m:t>
            </m:r>
            <m:r>
              <m:rPr/>
              <w:rPr>
                <w:rFonts w:hint="eastAsia" w:ascii="Cambria Math" w:hAnsi="Cambria Math"/>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X</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28"/>
          <w:highlight w:val="none"/>
          <w14:textFill>
            <w14:solidFill>
              <w14:schemeClr w14:val="tx1"/>
            </w14:solidFill>
          </w14:textFill>
        </w:rPr>
        <w:t>/</w:t>
      </w:r>
      <w:r>
        <w:rPr>
          <w:color w:val="000000" w:themeColor="text1"/>
          <w:sz w:val="18"/>
          <w:highlight w:val="none"/>
          <w14:textFill>
            <w14:solidFill>
              <w14:schemeClr w14:val="tx1"/>
            </w14:solidFill>
          </w14:textFill>
        </w:rPr>
        <w:t xml:space="preserve"> </w:t>
      </w:r>
      <m:oMath>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18"/>
          <w:highlight w:val="none"/>
          <w14:textFill>
            <w14:solidFill>
              <w14:schemeClr w14:val="tx1"/>
            </w14:solidFill>
          </w14:textFill>
        </w:rPr>
        <w:t>)</w:t>
      </w:r>
      <w:r>
        <w:rPr>
          <w:rFonts w:hint="eastAsia"/>
          <w:color w:val="000000" w:themeColor="text1"/>
          <w:sz w:val="28"/>
          <w:highlight w:val="none"/>
          <w14:textFill>
            <w14:solidFill>
              <w14:schemeClr w14:val="tx1"/>
            </w14:solidFill>
          </w14:textFill>
        </w:rPr>
        <w:t>/</w:t>
      </w:r>
      <w:r>
        <w:rPr>
          <w:color w:val="000000" w:themeColor="text1"/>
          <w:sz w:val="28"/>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，α为学业成绩（F2-1）分值，</w:t>
      </w:r>
      <w:r>
        <w:rPr>
          <w:rFonts w:ascii="宋体" w:hAnsi="宋体"/>
          <w:color w:val="000000" w:themeColor="text1"/>
          <w:position w:val="-12"/>
          <w:sz w:val="24"/>
          <w:highlight w:val="none"/>
          <w14:textFill>
            <w14:solidFill>
              <w14:schemeClr w14:val="tx1"/>
            </w14:solidFill>
          </w14:textFill>
        </w:rPr>
        <w:object>
          <v:shape id="_x0000_i1027" o:spt="75" type="#_x0000_t75" style="height:18.25pt;width:14.95pt;" o:ole="t" filled="f" o:preferrelative="t" stroked="f" coordsize="21600,21600">
            <v:path/>
            <v:fill on="f" focussize="0,0"/>
            <v:stroke on="f" joinstyle="miter"/>
            <v:imagedata r:id="rId6" o:title=""/>
            <o:lock v:ext="edit" aspectratio="t"/>
            <w10:wrap type="none"/>
            <w10:anchorlock/>
          </v:shape>
          <o:OLEObject Type="Embed" ProgID="Equation.DSMT4" ShapeID="_x0000_i1027" DrawAspect="Content" ObjectID="_1468075727" r:id="rId9">
            <o:LockedField>false</o:LockedField>
          </o:OLEObject>
        </w:object>
      </w:r>
      <w:r>
        <w:rPr>
          <w:rFonts w:hint="eastAsia" w:ascii="宋体" w:hAnsi="宋体"/>
          <w:color w:val="000000" w:themeColor="text1"/>
          <w:sz w:val="24"/>
          <w:highlight w:val="none"/>
          <w14:textFill>
            <w14:solidFill>
              <w14:schemeClr w14:val="tx1"/>
            </w14:solidFill>
          </w14:textFill>
        </w:rPr>
        <w:t>为上一学年度</w:t>
      </w:r>
      <w:r>
        <w:rPr>
          <w:rFonts w:hint="eastAsia" w:hAnsi="宋体"/>
          <w:color w:val="000000" w:themeColor="text1"/>
          <w:sz w:val="24"/>
          <w:highlight w:val="none"/>
          <w14:textFill>
            <w14:solidFill>
              <w14:schemeClr w14:val="tx1"/>
            </w14:solidFill>
          </w14:textFill>
        </w:rPr>
        <w:t>该生该门课程</w:t>
      </w:r>
      <w:r>
        <w:rPr>
          <w:rFonts w:hint="eastAsia" w:ascii="宋体" w:hAnsi="宋体"/>
          <w:color w:val="000000" w:themeColor="text1"/>
          <w:sz w:val="24"/>
          <w:highlight w:val="none"/>
          <w14:textFill>
            <w14:solidFill>
              <w14:schemeClr w14:val="tx1"/>
            </w14:solidFill>
          </w14:textFill>
        </w:rPr>
        <w:t>的绩点（满分4.0），</w:t>
      </w:r>
      <w:r>
        <w:rPr>
          <w:rFonts w:ascii="宋体" w:hAnsi="宋体"/>
          <w:color w:val="000000" w:themeColor="text1"/>
          <w:position w:val="-12"/>
          <w:sz w:val="24"/>
          <w:highlight w:val="none"/>
          <w14:textFill>
            <w14:solidFill>
              <w14:schemeClr w14:val="tx1"/>
            </w14:solidFill>
          </w14:textFill>
        </w:rPr>
        <w:object>
          <v:shape id="_x0000_i1028" o:spt="75" type="#_x0000_t75" style="height:18.25pt;width:11.2pt;" o:ole="t" filled="f" o:preferrelative="t" stroked="f" coordsize="21600,21600">
            <v:path/>
            <v:fill on="f" focussize="0,0"/>
            <v:stroke on="f" joinstyle="miter"/>
            <v:imagedata r:id="rId8" o:title=""/>
            <o:lock v:ext="edit" aspectratio="t"/>
            <w10:wrap type="none"/>
            <w10:anchorlock/>
          </v:shape>
          <o:OLEObject Type="Embed" ProgID="Equation.DSMT4" ShapeID="_x0000_i1028" DrawAspect="Content" ObjectID="_1468075728" r:id="rId10">
            <o:LockedField>false</o:LockedField>
          </o:OLEObject>
        </w:object>
      </w:r>
      <w:r>
        <w:rPr>
          <w:rFonts w:hint="eastAsia" w:ascii="宋体" w:hAnsi="宋体"/>
          <w:color w:val="000000" w:themeColor="text1"/>
          <w:sz w:val="24"/>
          <w:highlight w:val="none"/>
          <w14:textFill>
            <w14:solidFill>
              <w14:schemeClr w14:val="tx1"/>
            </w14:solidFill>
          </w14:textFill>
        </w:rPr>
        <w:t>为该课程的学分数，</w:t>
      </w:r>
      <w:r>
        <w:rPr>
          <w:rFonts w:ascii="宋体" w:hAnsi="宋体"/>
          <w:color w:val="000000" w:themeColor="text1"/>
          <w:sz w:val="24"/>
          <w:highlight w:val="none"/>
          <w14:textFill>
            <w14:solidFill>
              <w14:schemeClr w14:val="tx1"/>
            </w14:solidFill>
          </w14:textFill>
        </w:rPr>
        <w:t>n</w:t>
      </w:r>
      <w:r>
        <w:rPr>
          <w:rFonts w:hint="eastAsia" w:ascii="宋体" w:hAnsi="宋体"/>
          <w:color w:val="000000" w:themeColor="text1"/>
          <w:sz w:val="24"/>
          <w:highlight w:val="none"/>
          <w14:textFill>
            <w14:solidFill>
              <w14:schemeClr w14:val="tx1"/>
            </w14:solidFill>
          </w14:textFill>
        </w:rPr>
        <w:t>为参加测评的课程总数。</w:t>
      </w:r>
    </w:p>
    <w:p w14:paraId="1E127E0C">
      <w:pPr>
        <w:pStyle w:val="16"/>
        <w:spacing w:line="360" w:lineRule="auto"/>
        <w:ind w:firstLine="480" w:firstLineChars="20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研究生若在上一学年无课程安排，由系（所、中心）和班级根据实际情况决定其学业成绩测评分数。</w:t>
      </w:r>
    </w:p>
    <w:p w14:paraId="24EB3258">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）部分的各类学术成果加分可累加，上限为满分β分，评定依据如下：</w:t>
      </w:r>
      <w:r>
        <w:rPr>
          <w:rFonts w:hAnsi="宋体"/>
          <w:color w:val="000000" w:themeColor="text1"/>
          <w:highlight w:val="none"/>
          <w14:textFill>
            <w14:solidFill>
              <w14:schemeClr w14:val="tx1"/>
            </w14:solidFill>
          </w14:textFill>
        </w:rPr>
        <w:t xml:space="preserve"> </w:t>
      </w:r>
    </w:p>
    <w:p w14:paraId="0072011F">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（一）可列入加分范围的学术成果及具体加分</w:t>
      </w:r>
    </w:p>
    <w:p w14:paraId="7F63BD6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1.学术论文</w:t>
      </w:r>
    </w:p>
    <w:p w14:paraId="7C18A85C">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（1）在国内外核心期刊（</w:t>
      </w:r>
      <w:r>
        <w:rPr>
          <w:rFonts w:hint="eastAsia" w:hAnsi="宋体"/>
          <w:color w:val="000000" w:themeColor="text1"/>
          <w:highlight w:val="none"/>
          <w:lang w:val="en-US" w:eastAsia="zh-CN"/>
          <w14:textFill>
            <w14:solidFill>
              <w14:schemeClr w14:val="tx1"/>
            </w14:solidFill>
          </w14:textFill>
        </w:rPr>
        <w:t>A&amp;HCI、</w:t>
      </w:r>
      <w:r>
        <w:rPr>
          <w:rFonts w:hint="eastAsia" w:hAnsi="宋体"/>
          <w:color w:val="000000" w:themeColor="text1"/>
          <w:highlight w:val="none"/>
          <w14:textFill>
            <w14:solidFill>
              <w14:schemeClr w14:val="tx1"/>
            </w14:solidFill>
          </w14:textFill>
        </w:rPr>
        <w:t>SSCI、SCI、CSSCI</w:t>
      </w:r>
      <w:r>
        <w:rPr>
          <w:rFonts w:hint="eastAsia" w:hAnsi="宋体"/>
          <w:color w:val="000000" w:themeColor="text1"/>
          <w:highlight w:val="none"/>
          <w:vertAlign w:val="superscript"/>
          <w:lang w:val="en-US" w:eastAsia="zh-CN"/>
          <w14:textFill>
            <w14:solidFill>
              <w14:schemeClr w14:val="tx1"/>
            </w14:solidFill>
          </w14:textFill>
        </w:rPr>
        <w:t xml:space="preserve"> </w:t>
      </w:r>
      <w:r>
        <w:rPr>
          <w:rFonts w:hint="eastAsia" w:hAnsi="宋体"/>
          <w:color w:val="000000" w:themeColor="text1"/>
          <w:highlight w:val="none"/>
          <w:vertAlign w:val="baseline"/>
          <w:lang w:val="en-US" w:eastAsia="zh-CN"/>
          <w14:textFill>
            <w14:solidFill>
              <w14:schemeClr w14:val="tx1"/>
            </w14:solidFill>
          </w14:textFill>
        </w:rPr>
        <w:t>、北大核心</w:t>
      </w:r>
      <w:r>
        <w:rPr>
          <w:rFonts w:hint="eastAsia" w:hAnsi="宋体"/>
          <w:color w:val="000000" w:themeColor="text1"/>
          <w:highlight w:val="none"/>
          <w14:textFill>
            <w14:solidFill>
              <w14:schemeClr w14:val="tx1"/>
            </w14:solidFill>
          </w14:textFill>
        </w:rPr>
        <w:t>)（以所测评学年的最新版期刊目录为准）中所列的核心期刊中发表独立撰写的学术论文，</w:t>
      </w:r>
      <w:r>
        <w:rPr>
          <w:rFonts w:hint="eastAsia" w:hAnsi="宋体"/>
          <w:color w:val="000000" w:themeColor="text1"/>
          <w:highlight w:val="none"/>
          <w:lang w:val="en-US" w:eastAsia="zh-CN"/>
          <w14:textFill>
            <w14:solidFill>
              <w14:schemeClr w14:val="tx1"/>
            </w14:solidFill>
          </w14:textFill>
        </w:rPr>
        <w:t>以及在</w:t>
      </w:r>
      <w:r>
        <w:rPr>
          <w:rFonts w:hint="eastAsia" w:hAnsi="宋体"/>
          <w:color w:val="000000" w:themeColor="text1"/>
          <w:highlight w:val="none"/>
          <w14:textFill>
            <w14:solidFill>
              <w14:schemeClr w14:val="tx1"/>
            </w14:solidFill>
          </w14:textFill>
        </w:rPr>
        <w:t>系（所、中心）</w:t>
      </w:r>
      <w:r>
        <w:rPr>
          <w:rFonts w:hint="eastAsia" w:hAnsi="宋体"/>
          <w:color w:val="000000" w:themeColor="text1"/>
          <w:highlight w:val="none"/>
          <w:lang w:val="en-US" w:eastAsia="zh-CN"/>
          <w14:textFill>
            <w14:solidFill>
              <w14:schemeClr w14:val="tx1"/>
            </w14:solidFill>
          </w14:textFill>
        </w:rPr>
        <w:t>认定处于同等水平的学术期刊</w:t>
      </w:r>
      <w:r>
        <w:rPr>
          <w:rFonts w:hint="eastAsia" w:hAnsi="宋体"/>
          <w:color w:val="000000" w:themeColor="text1"/>
          <w:highlight w:val="none"/>
          <w14:textFill>
            <w14:solidFill>
              <w14:schemeClr w14:val="tx1"/>
            </w14:solidFill>
          </w14:textFill>
        </w:rPr>
        <w:t>发表独立撰写的学术论文</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每篇加</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分；在国家正式出版的核心期刊之外的其它公开出版物上发表独立撰写的学术论文，每篇加</w:t>
      </w:r>
      <w:r>
        <w:rPr>
          <w:rFonts w:hAnsi="宋体"/>
          <w:color w:val="000000" w:themeColor="text1"/>
          <w:highlight w:val="none"/>
          <w14:textFill>
            <w14:solidFill>
              <w14:schemeClr w14:val="tx1"/>
            </w14:solidFill>
          </w14:textFill>
        </w:rPr>
        <w:t>1.5</w:t>
      </w:r>
      <w:r>
        <w:rPr>
          <w:rFonts w:hint="eastAsia" w:hAnsi="宋体"/>
          <w:color w:val="000000" w:themeColor="text1"/>
          <w:highlight w:val="none"/>
          <w14:textFill>
            <w14:solidFill>
              <w14:schemeClr w14:val="tx1"/>
            </w14:solidFill>
          </w14:textFill>
        </w:rPr>
        <w:t>分。</w:t>
      </w:r>
    </w:p>
    <w:p w14:paraId="0FB1B6C3">
      <w:pPr>
        <w:pStyle w:val="16"/>
        <w:spacing w:line="360" w:lineRule="auto"/>
        <w:ind w:firstLine="480" w:firstLineChars="200"/>
        <w:jc w:val="both"/>
        <w:rPr>
          <w:rStyle w:val="12"/>
          <w:rFonts w:ascii="Times New Roman" w:cs="Times New Roman"/>
          <w:color w:val="000000" w:themeColor="text1"/>
          <w:kern w:val="2"/>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（2）在国内外核心期刊（</w:t>
      </w:r>
      <w:r>
        <w:rPr>
          <w:rFonts w:hint="eastAsia" w:hAnsi="宋体"/>
          <w:color w:val="000000" w:themeColor="text1"/>
          <w:highlight w:val="none"/>
          <w:lang w:val="en-US" w:eastAsia="zh-CN"/>
          <w14:textFill>
            <w14:solidFill>
              <w14:schemeClr w14:val="tx1"/>
            </w14:solidFill>
          </w14:textFill>
        </w:rPr>
        <w:t>A&amp;HCI、</w:t>
      </w:r>
      <w:r>
        <w:rPr>
          <w:rFonts w:hint="eastAsia" w:hAnsi="宋体"/>
          <w:color w:val="000000" w:themeColor="text1"/>
          <w:highlight w:val="none"/>
          <w14:textFill>
            <w14:solidFill>
              <w14:schemeClr w14:val="tx1"/>
            </w14:solidFill>
          </w14:textFill>
        </w:rPr>
        <w:t>SSCI、SCI、CSSCI</w:t>
      </w:r>
      <w:r>
        <w:rPr>
          <w:rFonts w:hint="eastAsia" w:hAnsi="宋体"/>
          <w:color w:val="000000" w:themeColor="text1"/>
          <w:highlight w:val="none"/>
          <w:vertAlign w:val="superscript"/>
          <w:lang w:val="en-US" w:eastAsia="zh-CN"/>
          <w14:textFill>
            <w14:solidFill>
              <w14:schemeClr w14:val="tx1"/>
            </w14:solidFill>
          </w14:textFill>
        </w:rPr>
        <w:t xml:space="preserve"> </w:t>
      </w:r>
      <w:r>
        <w:rPr>
          <w:rFonts w:hint="eastAsia" w:hAnsi="宋体"/>
          <w:color w:val="000000" w:themeColor="text1"/>
          <w:highlight w:val="none"/>
          <w:vertAlign w:val="baseline"/>
          <w:lang w:val="en-US" w:eastAsia="zh-CN"/>
          <w14:textFill>
            <w14:solidFill>
              <w14:schemeClr w14:val="tx1"/>
            </w14:solidFill>
          </w14:textFill>
        </w:rPr>
        <w:t>、北大核心</w:t>
      </w:r>
      <w:r>
        <w:rPr>
          <w:rFonts w:hint="eastAsia" w:hAnsi="宋体"/>
          <w:color w:val="000000" w:themeColor="text1"/>
          <w:highlight w:val="none"/>
          <w14:textFill>
            <w14:solidFill>
              <w14:schemeClr w14:val="tx1"/>
            </w14:solidFill>
          </w14:textFill>
        </w:rPr>
        <w:t>)（以所测评学年的最新版期刊目录为准）中所列的核心期刊中发表合作撰写的学术论文，</w:t>
      </w:r>
      <w:r>
        <w:rPr>
          <w:rFonts w:hint="eastAsia" w:hAnsi="宋体"/>
          <w:color w:val="000000" w:themeColor="text1"/>
          <w:highlight w:val="none"/>
          <w:lang w:val="en-US" w:eastAsia="zh-CN"/>
          <w14:textFill>
            <w14:solidFill>
              <w14:schemeClr w14:val="tx1"/>
            </w14:solidFill>
          </w14:textFill>
        </w:rPr>
        <w:t>以及在</w:t>
      </w:r>
      <w:r>
        <w:rPr>
          <w:rFonts w:hint="eastAsia" w:hAnsi="宋体"/>
          <w:color w:val="000000" w:themeColor="text1"/>
          <w:highlight w:val="none"/>
          <w14:textFill>
            <w14:solidFill>
              <w14:schemeClr w14:val="tx1"/>
            </w14:solidFill>
          </w14:textFill>
        </w:rPr>
        <w:t>系（所、中心）</w:t>
      </w:r>
      <w:r>
        <w:rPr>
          <w:rFonts w:hint="eastAsia" w:hAnsi="宋体"/>
          <w:color w:val="000000" w:themeColor="text1"/>
          <w:highlight w:val="none"/>
          <w:lang w:val="en-US" w:eastAsia="zh-CN"/>
          <w14:textFill>
            <w14:solidFill>
              <w14:schemeClr w14:val="tx1"/>
            </w14:solidFill>
          </w14:textFill>
        </w:rPr>
        <w:t>认定处于同等水平的学术期刊</w:t>
      </w:r>
      <w:r>
        <w:rPr>
          <w:rFonts w:hint="eastAsia" w:hAnsi="宋体"/>
          <w:color w:val="000000" w:themeColor="text1"/>
          <w:highlight w:val="none"/>
          <w14:textFill>
            <w14:solidFill>
              <w14:schemeClr w14:val="tx1"/>
            </w14:solidFill>
          </w14:textFill>
        </w:rPr>
        <w:t>发表</w:t>
      </w:r>
      <w:r>
        <w:rPr>
          <w:rFonts w:hint="eastAsia" w:hAnsi="宋体"/>
          <w:color w:val="000000" w:themeColor="text1"/>
          <w:highlight w:val="none"/>
          <w:lang w:val="en-US" w:eastAsia="zh-CN"/>
          <w14:textFill>
            <w14:solidFill>
              <w14:schemeClr w14:val="tx1"/>
            </w14:solidFill>
          </w14:textFill>
        </w:rPr>
        <w:t>合作</w:t>
      </w:r>
      <w:r>
        <w:rPr>
          <w:rFonts w:hint="eastAsia" w:hAnsi="宋体"/>
          <w:color w:val="000000" w:themeColor="text1"/>
          <w:highlight w:val="none"/>
          <w14:textFill>
            <w14:solidFill>
              <w14:schemeClr w14:val="tx1"/>
            </w14:solidFill>
          </w14:textFill>
        </w:rPr>
        <w:t>撰写的学术论文</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每篇加分基础分为3分乘以作者排序百分数计算；在国家正式出版的核心期刊之外的其它公开出版物上发表合作撰写的学术论文的，每篇加分基础分为1.5分乘以作者排序百分数计算，具体如下：</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565"/>
        <w:gridCol w:w="1565"/>
        <w:gridCol w:w="1565"/>
        <w:gridCol w:w="1565"/>
      </w:tblGrid>
      <w:tr w14:paraId="7EC8678C">
        <w:trPr>
          <w:cantSplit/>
          <w:jc w:val="center"/>
        </w:trPr>
        <w:tc>
          <w:tcPr>
            <w:tcW w:w="1565" w:type="dxa"/>
            <w:vAlign w:val="center"/>
          </w:tcPr>
          <w:p w14:paraId="01C6F9E6">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c>
          <w:tcPr>
            <w:tcW w:w="1565" w:type="dxa"/>
            <w:vAlign w:val="center"/>
          </w:tcPr>
          <w:p w14:paraId="0B6F2342">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一作</w:t>
            </w:r>
          </w:p>
        </w:tc>
        <w:tc>
          <w:tcPr>
            <w:tcW w:w="1565" w:type="dxa"/>
            <w:vAlign w:val="center"/>
          </w:tcPr>
          <w:p w14:paraId="63BDA633">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二作</w:t>
            </w:r>
          </w:p>
        </w:tc>
        <w:tc>
          <w:tcPr>
            <w:tcW w:w="1565" w:type="dxa"/>
            <w:vAlign w:val="center"/>
          </w:tcPr>
          <w:p w14:paraId="6BF9EDAA">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三作</w:t>
            </w:r>
          </w:p>
        </w:tc>
        <w:tc>
          <w:tcPr>
            <w:tcW w:w="1565" w:type="dxa"/>
            <w:vAlign w:val="center"/>
          </w:tcPr>
          <w:p w14:paraId="521831A8">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四作及以后</w:t>
            </w:r>
          </w:p>
        </w:tc>
      </w:tr>
      <w:tr w14:paraId="20883356">
        <w:trPr>
          <w:cantSplit/>
          <w:jc w:val="center"/>
        </w:trPr>
        <w:tc>
          <w:tcPr>
            <w:tcW w:w="1565" w:type="dxa"/>
            <w:vAlign w:val="center"/>
          </w:tcPr>
          <w:p w14:paraId="44409421">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独立作者</w:t>
            </w:r>
          </w:p>
        </w:tc>
        <w:tc>
          <w:tcPr>
            <w:tcW w:w="1565" w:type="dxa"/>
            <w:vAlign w:val="center"/>
          </w:tcPr>
          <w:p w14:paraId="33F9A857">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100%</w:t>
            </w:r>
          </w:p>
        </w:tc>
        <w:tc>
          <w:tcPr>
            <w:tcW w:w="1565" w:type="dxa"/>
            <w:vAlign w:val="center"/>
          </w:tcPr>
          <w:p w14:paraId="23274D32">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c>
          <w:tcPr>
            <w:tcW w:w="1565" w:type="dxa"/>
            <w:vAlign w:val="center"/>
          </w:tcPr>
          <w:p w14:paraId="2B9136AA">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c>
          <w:tcPr>
            <w:tcW w:w="1565" w:type="dxa"/>
            <w:vAlign w:val="center"/>
          </w:tcPr>
          <w:p w14:paraId="277D5EDE">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r>
      <w:tr w14:paraId="3D275B33">
        <w:trPr>
          <w:cantSplit/>
          <w:jc w:val="center"/>
        </w:trPr>
        <w:tc>
          <w:tcPr>
            <w:tcW w:w="1565" w:type="dxa"/>
            <w:vAlign w:val="center"/>
          </w:tcPr>
          <w:p w14:paraId="6F363CC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两人合作</w:t>
            </w:r>
          </w:p>
        </w:tc>
        <w:tc>
          <w:tcPr>
            <w:tcW w:w="1565" w:type="dxa"/>
            <w:vAlign w:val="center"/>
          </w:tcPr>
          <w:p w14:paraId="0342F460">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p>
        </w:tc>
        <w:tc>
          <w:tcPr>
            <w:tcW w:w="1565" w:type="dxa"/>
            <w:vAlign w:val="center"/>
          </w:tcPr>
          <w:p w14:paraId="6BCD415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30%</w:t>
            </w:r>
          </w:p>
        </w:tc>
        <w:tc>
          <w:tcPr>
            <w:tcW w:w="1565" w:type="dxa"/>
            <w:vAlign w:val="center"/>
          </w:tcPr>
          <w:p w14:paraId="027D7270">
            <w:pPr>
              <w:pStyle w:val="16"/>
              <w:spacing w:line="360" w:lineRule="auto"/>
              <w:jc w:val="center"/>
              <w:rPr>
                <w:rFonts w:hAnsi="宋体"/>
                <w:color w:val="000000" w:themeColor="text1"/>
                <w:highlight w:val="none"/>
                <w14:textFill>
                  <w14:solidFill>
                    <w14:schemeClr w14:val="tx1"/>
                  </w14:solidFill>
                </w14:textFill>
              </w:rPr>
            </w:pPr>
          </w:p>
        </w:tc>
        <w:tc>
          <w:tcPr>
            <w:tcW w:w="1565" w:type="dxa"/>
            <w:vAlign w:val="center"/>
          </w:tcPr>
          <w:p w14:paraId="6D366153">
            <w:pPr>
              <w:pStyle w:val="16"/>
              <w:spacing w:line="360" w:lineRule="auto"/>
              <w:jc w:val="center"/>
              <w:rPr>
                <w:rFonts w:hAnsi="宋体"/>
                <w:color w:val="000000" w:themeColor="text1"/>
                <w:highlight w:val="none"/>
                <w14:textFill>
                  <w14:solidFill>
                    <w14:schemeClr w14:val="tx1"/>
                  </w14:solidFill>
                </w14:textFill>
              </w:rPr>
            </w:pPr>
          </w:p>
        </w:tc>
      </w:tr>
      <w:tr w14:paraId="4750FB0E">
        <w:trPr>
          <w:cantSplit/>
          <w:jc w:val="center"/>
        </w:trPr>
        <w:tc>
          <w:tcPr>
            <w:tcW w:w="1565" w:type="dxa"/>
            <w:vAlign w:val="center"/>
          </w:tcPr>
          <w:p w14:paraId="15F2E4D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三人合作</w:t>
            </w:r>
          </w:p>
        </w:tc>
        <w:tc>
          <w:tcPr>
            <w:tcW w:w="1565" w:type="dxa"/>
            <w:vAlign w:val="center"/>
          </w:tcPr>
          <w:p w14:paraId="44C4424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p>
        </w:tc>
        <w:tc>
          <w:tcPr>
            <w:tcW w:w="1565" w:type="dxa"/>
            <w:vAlign w:val="center"/>
          </w:tcPr>
          <w:p w14:paraId="067CB499">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w:t>
            </w:r>
          </w:p>
        </w:tc>
        <w:tc>
          <w:tcPr>
            <w:tcW w:w="1565" w:type="dxa"/>
            <w:vAlign w:val="center"/>
          </w:tcPr>
          <w:p w14:paraId="668E5A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w:t>
            </w:r>
          </w:p>
        </w:tc>
        <w:tc>
          <w:tcPr>
            <w:tcW w:w="1565" w:type="dxa"/>
            <w:vAlign w:val="center"/>
          </w:tcPr>
          <w:p w14:paraId="5EE85018">
            <w:pPr>
              <w:pStyle w:val="16"/>
              <w:spacing w:line="360" w:lineRule="auto"/>
              <w:jc w:val="center"/>
              <w:rPr>
                <w:rFonts w:hAnsi="宋体"/>
                <w:color w:val="000000" w:themeColor="text1"/>
                <w:highlight w:val="none"/>
                <w14:textFill>
                  <w14:solidFill>
                    <w14:schemeClr w14:val="tx1"/>
                  </w14:solidFill>
                </w14:textFill>
              </w:rPr>
            </w:pPr>
          </w:p>
        </w:tc>
      </w:tr>
      <w:tr w14:paraId="2CBF8312">
        <w:trPr>
          <w:cantSplit/>
          <w:jc w:val="center"/>
        </w:trPr>
        <w:tc>
          <w:tcPr>
            <w:tcW w:w="1565" w:type="dxa"/>
            <w:vAlign w:val="center"/>
          </w:tcPr>
          <w:p w14:paraId="279BE12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四人及</w:t>
            </w:r>
          </w:p>
          <w:p w14:paraId="43D1619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以上合作</w:t>
            </w:r>
          </w:p>
        </w:tc>
        <w:tc>
          <w:tcPr>
            <w:tcW w:w="1565" w:type="dxa"/>
            <w:vAlign w:val="center"/>
          </w:tcPr>
          <w:p w14:paraId="79EEA21A">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p>
        </w:tc>
        <w:tc>
          <w:tcPr>
            <w:tcW w:w="1565" w:type="dxa"/>
            <w:vAlign w:val="center"/>
          </w:tcPr>
          <w:p w14:paraId="0217BB4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15%</w:t>
            </w:r>
          </w:p>
        </w:tc>
        <w:tc>
          <w:tcPr>
            <w:tcW w:w="1565" w:type="dxa"/>
            <w:vAlign w:val="center"/>
          </w:tcPr>
          <w:p w14:paraId="58E4594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w:t>
            </w:r>
          </w:p>
        </w:tc>
        <w:tc>
          <w:tcPr>
            <w:tcW w:w="1565" w:type="dxa"/>
            <w:vAlign w:val="center"/>
          </w:tcPr>
          <w:p w14:paraId="4FAEB2F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平分5%</w:t>
            </w:r>
          </w:p>
        </w:tc>
      </w:tr>
    </w:tbl>
    <w:p w14:paraId="35EE267E">
      <w:pPr>
        <w:pStyle w:val="16"/>
        <w:spacing w:line="360" w:lineRule="auto"/>
        <w:ind w:firstLine="480" w:firstLineChars="200"/>
        <w:jc w:val="both"/>
        <w:rPr>
          <w:rFonts w:hAnsi="宋体"/>
          <w:color w:val="000000" w:themeColor="text1"/>
          <w:highlight w:val="none"/>
          <w14:textFill>
            <w14:solidFill>
              <w14:schemeClr w14:val="tx1"/>
            </w14:solidFill>
          </w14:textFill>
        </w:rPr>
      </w:pPr>
    </w:p>
    <w:p w14:paraId="2DE64E4C">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（3）发表参与翻译的学术论文，参照论文发表参与情况的得分乘以50%给予加分。</w:t>
      </w:r>
    </w:p>
    <w:p w14:paraId="4DF26355">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2.学术著作</w:t>
      </w:r>
    </w:p>
    <w:p w14:paraId="53F72C9B">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（1）出版独立撰写的学术著作，字数在15万字以上的，每本加8分；字数在15万字以下的，每本加5分；</w:t>
      </w:r>
    </w:p>
    <w:p w14:paraId="4EC425C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（2）出版合作撰写的学术著作，字数在15万字以上的，每本加分基础分为8分乘以作者排序百分数计算；字数在15万字以下的，每本加分基础分为5分乘以作者排序百分数计算，具体参照</w:t>
      </w:r>
      <w:r>
        <w:rPr>
          <w:rFonts w:hint="eastAsia" w:hAnsi="宋体"/>
          <w:color w:val="000000" w:themeColor="text1"/>
          <w:highlight w:val="none"/>
          <w:lang w:val="en-US" w:eastAsia="zh-CN"/>
          <w14:textFill>
            <w14:solidFill>
              <w14:schemeClr w14:val="tx1"/>
            </w14:solidFill>
          </w14:textFill>
        </w:rPr>
        <w:t>学术论文</w:t>
      </w:r>
      <w:r>
        <w:rPr>
          <w:rFonts w:hint="eastAsia" w:hAnsi="宋体"/>
          <w:color w:val="000000" w:themeColor="text1"/>
          <w:highlight w:val="none"/>
          <w14:textFill>
            <w14:solidFill>
              <w14:schemeClr w14:val="tx1"/>
            </w14:solidFill>
          </w14:textFill>
        </w:rPr>
        <w:t>发文作者顺序的加分办法。</w:t>
      </w:r>
    </w:p>
    <w:p w14:paraId="1E03C99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（3）出版参与编写的学术著作，本人负责编写部分的字数在8万字以上的，加</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分；本人负责编写部分的字数在5万字以上、8万字以下的，加</w:t>
      </w:r>
      <w:r>
        <w:rPr>
          <w:rFonts w:hAnsi="宋体"/>
          <w:color w:val="000000" w:themeColor="text1"/>
          <w:highlight w:val="none"/>
          <w14:textFill>
            <w14:solidFill>
              <w14:schemeClr w14:val="tx1"/>
            </w14:solidFill>
          </w14:textFill>
        </w:rPr>
        <w:t>1.5</w:t>
      </w:r>
      <w:r>
        <w:rPr>
          <w:rFonts w:hint="eastAsia" w:hAnsi="宋体"/>
          <w:color w:val="000000" w:themeColor="text1"/>
          <w:highlight w:val="none"/>
          <w14:textFill>
            <w14:solidFill>
              <w14:schemeClr w14:val="tx1"/>
            </w14:solidFill>
          </w14:textFill>
        </w:rPr>
        <w:t>分；本人负责编写部分的字数在2万字以上、5万字以下的，加</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分；本人负责编写部分的字数在5000字以上、2万字以下的，加0.</w:t>
      </w:r>
      <w:r>
        <w:rPr>
          <w:rFonts w:hAnsi="宋体"/>
          <w:color w:val="000000" w:themeColor="text1"/>
          <w:highlight w:val="none"/>
          <w14:textFill>
            <w14:solidFill>
              <w14:schemeClr w14:val="tx1"/>
            </w14:solidFill>
          </w14:textFill>
        </w:rPr>
        <w:t>5</w:t>
      </w:r>
      <w:r>
        <w:rPr>
          <w:rFonts w:hint="eastAsia" w:hAnsi="宋体"/>
          <w:color w:val="000000" w:themeColor="text1"/>
          <w:highlight w:val="none"/>
          <w14:textFill>
            <w14:solidFill>
              <w14:schemeClr w14:val="tx1"/>
            </w14:solidFill>
          </w14:textFill>
        </w:rPr>
        <w:t>分；本人负责编写部分的字数在1000字以上、5000字以下的，加0.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分；本人负责编写部分的字数在1000字以下不予加分。</w:t>
      </w:r>
    </w:p>
    <w:p w14:paraId="1A75EB6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（4）出版参与翻译的学术著作，参照上述著作出版参与情况的得分乘以50%给予加分。</w:t>
      </w:r>
    </w:p>
    <w:p w14:paraId="25DC0D39">
      <w:pPr>
        <w:pStyle w:val="16"/>
        <w:spacing w:line="360" w:lineRule="auto"/>
        <w:ind w:firstLine="480" w:firstLineChars="200"/>
        <w:jc w:val="both"/>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3.学科竞赛</w:t>
      </w:r>
    </w:p>
    <w:p w14:paraId="4605C391">
      <w:pPr>
        <w:pStyle w:val="16"/>
        <w:spacing w:line="360" w:lineRule="auto"/>
        <w:ind w:firstLine="480" w:firstLineChars="200"/>
        <w:jc w:val="both"/>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pP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1）学院认定的学科竞赛为</w:t>
      </w:r>
      <w:r>
        <w:rPr>
          <w:rFonts w:hint="eastAsia" w:hAnsi="宋体"/>
          <w:color w:val="000000" w:themeColor="text1"/>
          <w:highlight w:val="none"/>
          <w14:textFill>
            <w14:solidFill>
              <w14:schemeClr w14:val="tx1"/>
            </w14:solidFill>
          </w14:textFill>
        </w:rPr>
        <w:t>“挑战杯”各级系列比赛</w:t>
      </w:r>
      <w:r>
        <w:rPr>
          <w:rFonts w:hint="eastAsia" w:hAnsi="宋体"/>
          <w:color w:val="000000" w:themeColor="text1"/>
          <w:highlight w:val="none"/>
          <w:lang w:eastAsia="zh-CN"/>
          <w14:textFill>
            <w14:solidFill>
              <w14:schemeClr w14:val="tx1"/>
            </w14:solidFill>
          </w14:textFill>
        </w:rPr>
        <w:t>、大学生职业规划大赛</w:t>
      </w:r>
      <w:r>
        <w:rPr>
          <w:rFonts w:hint="eastAsia" w:hAnsi="宋体"/>
          <w:color w:val="000000" w:themeColor="text1"/>
          <w:highlight w:val="none"/>
          <w14:textFill>
            <w14:solidFill>
              <w14:schemeClr w14:val="tx1"/>
            </w14:solidFill>
          </w14:textFill>
        </w:rPr>
        <w:t>各级系列比赛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大学生创新创业</w:t>
      </w:r>
      <w:r>
        <w:rPr>
          <w:rFonts w:hint="eastAsia" w:hAnsi="宋体"/>
          <w:color w:val="000000" w:themeColor="text1"/>
          <w:highlight w:val="none"/>
          <w14:textFill>
            <w14:solidFill>
              <w14:schemeClr w14:val="tx1"/>
            </w14:solidFill>
          </w14:textFill>
        </w:rPr>
        <w:t>各级系列比赛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北京大学创新创业学院发布或组织的各项赛事）</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北京大学外国语学院研究生学术论坛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其中</w:t>
      </w:r>
      <w:r>
        <w:rPr>
          <w:rFonts w:hint="eastAsia" w:hAnsi="宋体"/>
          <w:color w:val="000000" w:themeColor="text1"/>
          <w:highlight w:val="none"/>
          <w14:textFill>
            <w14:solidFill>
              <w14:schemeClr w14:val="tx1"/>
            </w14:solidFill>
          </w14:textFill>
        </w:rPr>
        <w:t>北京大学外国语学院研究生学术论坛</w:t>
      </w:r>
      <w:r>
        <w:rPr>
          <w:rFonts w:hint="eastAsia" w:hAnsi="宋体"/>
          <w:color w:val="000000" w:themeColor="text1"/>
          <w:highlight w:val="none"/>
          <w:lang w:val="en-US" w:eastAsia="zh-CN"/>
          <w14:textFill>
            <w14:solidFill>
              <w14:schemeClr w14:val="tx1"/>
            </w14:solidFill>
          </w14:textFill>
        </w:rPr>
        <w:t>认定为校级学科竞赛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除上述竞赛外，各系（所、中心）自行制定可认定的竞赛目录，竞赛等级由各系（所、中心）</w:t>
      </w:r>
      <w:r>
        <w:rPr>
          <w:rFonts w:hint="eastAsia" w:hAnsi="宋体"/>
          <w:color w:val="000000" w:themeColor="text1"/>
          <w:highlight w:val="none"/>
          <w:lang w:val="en-US" w:eastAsia="zh-CN"/>
          <w14:textFill>
            <w14:solidFill>
              <w14:schemeClr w14:val="tx1"/>
            </w14:solidFill>
          </w14:textFill>
        </w:rPr>
        <w:t>认定</w:t>
      </w:r>
      <w:r>
        <w:rPr>
          <w:rFonts w:hint="eastAsia" w:hAnsi="宋体"/>
          <w:color w:val="000000" w:themeColor="text1"/>
          <w:highlight w:val="none"/>
          <w14:textFill>
            <w14:solidFill>
              <w14:schemeClr w14:val="tx1"/>
            </w14:solidFill>
          </w14:textFill>
        </w:rPr>
        <w:t>，详见附录</w:t>
      </w:r>
      <w:r>
        <w:rPr>
          <w:rFonts w:hint="eastAsia" w:hAnsi="宋体"/>
          <w:color w:val="000000" w:themeColor="text1"/>
          <w:highlight w:val="none"/>
          <w:lang w:val="en-US" w:eastAsia="zh-CN"/>
          <w14:textFill>
            <w14:solidFill>
              <w14:schemeClr w14:val="tx1"/>
            </w14:solidFill>
          </w14:textFill>
        </w:rPr>
        <w:t>1。跨语种参加其他</w:t>
      </w:r>
      <w:r>
        <w:rPr>
          <w:rFonts w:hint="eastAsia" w:hAnsi="宋体"/>
          <w:color w:val="000000" w:themeColor="text1"/>
          <w:highlight w:val="none"/>
          <w14:textFill>
            <w14:solidFill>
              <w14:schemeClr w14:val="tx1"/>
            </w14:solidFill>
          </w14:textFill>
        </w:rPr>
        <w:t>系</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所、中心</w:t>
      </w:r>
      <w:r>
        <w:rPr>
          <w:rFonts w:hint="eastAsia" w:hAnsi="宋体"/>
          <w:color w:val="000000" w:themeColor="text1"/>
          <w:highlight w:val="none"/>
          <w:lang w:val="en-US" w:eastAsia="zh-CN"/>
          <w14:textFill>
            <w14:solidFill>
              <w14:schemeClr w14:val="tx1"/>
            </w14:solidFill>
          </w14:textFill>
        </w:rPr>
        <w:t>认定的学科竞赛，由</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学生所在</w:t>
      </w:r>
      <w:r>
        <w:rPr>
          <w:rFonts w:hint="eastAsia" w:hAnsi="宋体"/>
          <w:color w:val="000000" w:themeColor="text1"/>
          <w:highlight w:val="none"/>
          <w14:textFill>
            <w14:solidFill>
              <w14:schemeClr w14:val="tx1"/>
            </w14:solidFill>
          </w14:textFill>
        </w:rPr>
        <w:t>系（所、中心）</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认定</w:t>
      </w:r>
      <w:r>
        <w:rPr>
          <w:rFonts w:hint="eastAsia" w:ascii="Segoe UI" w:hAnsi="Segoe UI" w:cs="Segoe UI"/>
          <w:i w:val="0"/>
          <w:iCs w:val="0"/>
          <w:caps w:val="0"/>
          <w:color w:val="000000" w:themeColor="text1"/>
          <w:spacing w:val="0"/>
          <w:sz w:val="24"/>
          <w:szCs w:val="24"/>
          <w:highlight w:val="none"/>
          <w:shd w:val="clear" w:fill="FFFFFF"/>
          <w:lang w:val="en-US" w:eastAsia="zh-CN"/>
          <w14:textFill>
            <w14:solidFill>
              <w14:schemeClr w14:val="tx1"/>
            </w14:solidFill>
          </w14:textFill>
        </w:rPr>
        <w:t>是否加分</w:t>
      </w:r>
      <w:r>
        <w:rPr>
          <w:rFonts w:hint="eastAsia" w:hAnsi="宋体"/>
          <w:color w:val="000000" w:themeColor="text1"/>
          <w:highlight w:val="none"/>
          <w:lang w:val="en-US" w:eastAsia="zh-CN"/>
          <w14:textFill>
            <w14:solidFill>
              <w14:schemeClr w14:val="tx1"/>
            </w14:solidFill>
          </w14:textFill>
        </w:rPr>
        <w:t>；</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若同一竞赛在不同单位认定等级存在差异，原则上以学生所在</w:t>
      </w:r>
      <w:r>
        <w:rPr>
          <w:rFonts w:hint="eastAsia" w:hAnsi="宋体"/>
          <w:color w:val="000000" w:themeColor="text1"/>
          <w:highlight w:val="none"/>
          <w14:textFill>
            <w14:solidFill>
              <w14:schemeClr w14:val="tx1"/>
            </w14:solidFill>
          </w14:textFill>
        </w:rPr>
        <w:t>系（所、中心）</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的认定为准。</w:t>
      </w:r>
    </w:p>
    <w:p w14:paraId="48B33BE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）参加国家级学科竞赛获奖者，按照一、二、三等奖，分别加</w:t>
      </w:r>
      <w:r>
        <w:rPr>
          <w:rFonts w:hint="eastAsia" w:hAnsi="宋体"/>
          <w:color w:val="000000" w:themeColor="text1"/>
          <w:highlight w:val="none"/>
          <w:lang w:val="en-US" w:eastAsia="zh-CN"/>
          <w14:textFill>
            <w14:solidFill>
              <w14:schemeClr w14:val="tx1"/>
            </w14:solidFill>
          </w14:textFill>
        </w:rPr>
        <w:t>3</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分；</w:t>
      </w:r>
    </w:p>
    <w:p w14:paraId="6FE386AA">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（2）参加省（部）级学科竞赛获奖者，按照一、二、三等奖，分别加</w:t>
      </w: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0.7</w:t>
      </w:r>
      <w:r>
        <w:rPr>
          <w:rFonts w:hint="eastAsia" w:hAnsi="宋体"/>
          <w:color w:val="000000" w:themeColor="text1"/>
          <w:highlight w:val="none"/>
          <w14:textFill>
            <w14:solidFill>
              <w14:schemeClr w14:val="tx1"/>
            </w14:solidFill>
          </w14:textFill>
        </w:rPr>
        <w:t>分；</w:t>
      </w:r>
    </w:p>
    <w:p w14:paraId="41729605">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w:t>
      </w:r>
      <w:r>
        <w:rPr>
          <w:rFonts w:hint="eastAsia" w:hAnsi="宋体"/>
          <w:color w:val="000000" w:themeColor="text1"/>
          <w:highlight w:val="none"/>
          <w14:textFill>
            <w14:solidFill>
              <w14:schemeClr w14:val="tx1"/>
            </w14:solidFill>
          </w14:textFill>
        </w:rPr>
        <w:t>参加校级学科竞赛获奖者，按照一、二、三等奖，分别加</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0.7</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0.5</w:t>
      </w:r>
      <w:r>
        <w:rPr>
          <w:rFonts w:hint="eastAsia" w:hAnsi="宋体"/>
          <w:color w:val="000000" w:themeColor="text1"/>
          <w:highlight w:val="none"/>
          <w14:textFill>
            <w14:solidFill>
              <w14:schemeClr w14:val="tx1"/>
            </w14:solidFill>
          </w14:textFill>
        </w:rPr>
        <w:t>分；</w:t>
      </w:r>
    </w:p>
    <w:p w14:paraId="0A3C839B">
      <w:pPr>
        <w:pStyle w:val="16"/>
        <w:spacing w:line="360" w:lineRule="auto"/>
        <w:ind w:firstLine="480" w:firstLineChars="200"/>
        <w:jc w:val="both"/>
        <w:rPr>
          <w:rFonts w:hint="eastAsia"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14:textFill>
            <w14:solidFill>
              <w14:schemeClr w14:val="tx1"/>
            </w14:solidFill>
          </w14:textFill>
        </w:rPr>
        <w:t>（4）参加院级学科竞赛获奖者，按照一、二、三等奖，分别加</w:t>
      </w:r>
      <w:r>
        <w:rPr>
          <w:rFonts w:hint="eastAsia" w:hAnsi="宋体"/>
          <w:color w:val="000000" w:themeColor="text1"/>
          <w:highlight w:val="none"/>
          <w:lang w:val="en-US" w:eastAsia="zh-CN"/>
          <w14:textFill>
            <w14:solidFill>
              <w14:schemeClr w14:val="tx1"/>
            </w14:solidFill>
          </w14:textFill>
        </w:rPr>
        <w:t>0.7</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0.5</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0.3</w:t>
      </w:r>
      <w:r>
        <w:rPr>
          <w:rFonts w:hint="eastAsia" w:hAnsi="宋体"/>
          <w:color w:val="000000" w:themeColor="text1"/>
          <w:highlight w:val="none"/>
          <w14:textFill>
            <w14:solidFill>
              <w14:schemeClr w14:val="tx1"/>
            </w14:solidFill>
          </w14:textFill>
        </w:rPr>
        <w:t>分；</w:t>
      </w:r>
    </w:p>
    <w:p w14:paraId="7198657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（5）以上学科竞赛如设有特等奖、优秀奖等奖项，由系（所、中心）比照国家级、省（部）级、校级、院级学科竞赛奖项等级进行加分；</w:t>
      </w:r>
    </w:p>
    <w:p w14:paraId="282AFDDF">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6</w:t>
      </w:r>
      <w:r>
        <w:rPr>
          <w:rFonts w:hint="eastAsia" w:hAnsi="宋体"/>
          <w:color w:val="000000" w:themeColor="text1"/>
          <w:highlight w:val="none"/>
          <w14:textFill>
            <w14:solidFill>
              <w14:schemeClr w14:val="tx1"/>
            </w14:solidFill>
          </w14:textFill>
        </w:rPr>
        <w:t>）凡获奖项目为合作作品的，个人加分为：相应奖项加分/合作人数。</w:t>
      </w:r>
    </w:p>
    <w:p w14:paraId="5A91A346">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7）参加不在目录范围的竞赛，每项酌情加</w:t>
      </w:r>
      <w:r>
        <w:rPr>
          <w:rFonts w:hint="eastAsia" w:hAnsi="宋体"/>
          <w:color w:val="000000" w:themeColor="text1"/>
          <w:highlight w:val="none"/>
          <w14:textFill>
            <w14:solidFill>
              <w14:schemeClr w14:val="tx1"/>
            </w14:solidFill>
          </w14:textFill>
        </w:rPr>
        <w:t>0-</w:t>
      </w:r>
      <w:r>
        <w:rPr>
          <w:rFonts w:hAnsi="宋体"/>
          <w:color w:val="000000" w:themeColor="text1"/>
          <w:highlight w:val="none"/>
          <w14:textFill>
            <w14:solidFill>
              <w14:schemeClr w14:val="tx1"/>
            </w14:solidFill>
          </w14:textFill>
        </w:rPr>
        <w:t>0.1</w:t>
      </w:r>
      <w:r>
        <w:rPr>
          <w:rFonts w:hint="eastAsia" w:hAnsi="宋体"/>
          <w:color w:val="000000" w:themeColor="text1"/>
          <w:highlight w:val="none"/>
          <w14:textFill>
            <w14:solidFill>
              <w14:schemeClr w14:val="tx1"/>
            </w14:solidFill>
          </w14:textFill>
        </w:rPr>
        <w:t>分。</w:t>
      </w:r>
    </w:p>
    <w:p w14:paraId="7C9E0AC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4</w:t>
      </w:r>
      <w:r>
        <w:rPr>
          <w:rFonts w:hAnsi="宋体"/>
          <w:color w:val="000000" w:themeColor="text1"/>
          <w:highlight w:val="none"/>
          <w14:textFill>
            <w14:solidFill>
              <w14:schemeClr w14:val="tx1"/>
            </w14:solidFill>
          </w14:textFill>
        </w:rPr>
        <w:t>.</w:t>
      </w:r>
      <w:r>
        <w:rPr>
          <w:rFonts w:hint="eastAsia" w:hAnsi="宋体"/>
          <w:color w:val="000000" w:themeColor="text1"/>
          <w:highlight w:val="none"/>
          <w14:textFill>
            <w14:solidFill>
              <w14:schemeClr w14:val="tx1"/>
            </w14:solidFill>
          </w14:textFill>
        </w:rPr>
        <w:t>学术会议</w:t>
      </w:r>
    </w:p>
    <w:p w14:paraId="385DC601">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本人参与各级学术会议且在学术会议上宣读学术论文，由系（所、中心）负责人根据该学生的实际贡献出具加分意见，建议每次（每篇）酌情加0</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2分。</w:t>
      </w:r>
    </w:p>
    <w:p w14:paraId="7669F15A">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（二）加分规则</w:t>
      </w:r>
    </w:p>
    <w:p w14:paraId="33B8F705">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w:t>
      </w:r>
      <w:r>
        <w:rPr>
          <w:rFonts w:hAnsi="宋体"/>
          <w:color w:val="000000" w:themeColor="text1"/>
          <w:highlight w:val="none"/>
          <w14:textFill>
            <w14:solidFill>
              <w14:schemeClr w14:val="tx1"/>
            </w14:solidFill>
          </w14:textFill>
        </w:rPr>
        <w:t>.</w:t>
      </w:r>
      <w:r>
        <w:rPr>
          <w:rFonts w:hint="eastAsia" w:hAnsi="宋体"/>
          <w:color w:val="000000" w:themeColor="text1"/>
          <w:highlight w:val="none"/>
          <w14:textFill>
            <w14:solidFill>
              <w14:schemeClr w14:val="tx1"/>
            </w14:solidFill>
          </w14:textFill>
        </w:rPr>
        <w:t>学术科研加分只计算上一学年的情况（如2025-2026学年时间为2025年9月1日-2026年8月31日），毕业班可计算到测评之前，一般为当年9月；</w:t>
      </w:r>
    </w:p>
    <w:p w14:paraId="2949D72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．同一成果被多次发表或荣获多个奖项的，只以最高分计算一次，不可累加；</w:t>
      </w:r>
    </w:p>
    <w:p w14:paraId="0EF3323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学术科研成果加分均须提交出版物复印件，或出版物首页、目录页和论文复印件作为加分依据；用稿通知不作为加分依据，但学制期限基本修业年限内的毕业年级学生除外，超出学制期限基本修业年限的学生用稿通知亦不作为加分依据；已将用稿通知作为加分依据的学术科研成果，不可待刊出后重复申报学术科研成果加分；</w:t>
      </w:r>
    </w:p>
    <w:p w14:paraId="02CB89B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4</w:t>
      </w:r>
      <w:r>
        <w:rPr>
          <w:rFonts w:hint="eastAsia" w:hAnsi="宋体"/>
          <w:color w:val="000000" w:themeColor="text1"/>
          <w:highlight w:val="none"/>
          <w14:textFill>
            <w14:solidFill>
              <w14:schemeClr w14:val="tx1"/>
            </w14:solidFill>
          </w14:textFill>
        </w:rPr>
        <w:t>．与本人导师合作的符合上述条件的学术成果，在计算合作人数时不含导师；</w:t>
      </w:r>
    </w:p>
    <w:p w14:paraId="556C69D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5．校级、院级各类竞赛及奖项，均指本校和本院系；</w:t>
      </w:r>
    </w:p>
    <w:p w14:paraId="3FD83371">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6</w:t>
      </w:r>
      <w:r>
        <w:rPr>
          <w:rFonts w:hint="eastAsia" w:hAnsi="宋体"/>
          <w:color w:val="000000" w:themeColor="text1"/>
          <w:highlight w:val="none"/>
          <w14:textFill>
            <w14:solidFill>
              <w14:schemeClr w14:val="tx1"/>
            </w14:solidFill>
          </w14:textFill>
        </w:rPr>
        <w:t>．外国语学院学生奖励奖学金评审小组对本规则保有最终解释权，如出现争议的，由外国语学院学生奖励奖学金评审小组予以确定最终加分。</w:t>
      </w:r>
    </w:p>
    <w:p w14:paraId="5D5962D5">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双学位、辅修专业课程的成绩是否记入本项测评范围以学校教务部、研究生院学分管理相关规定为依据进行调整。</w:t>
      </w:r>
      <w:r>
        <w:rPr>
          <w:rFonts w:hAnsi="宋体"/>
          <w:color w:val="000000" w:themeColor="text1"/>
          <w:highlight w:val="none"/>
          <w14:textFill>
            <w14:solidFill>
              <w14:schemeClr w14:val="tx1"/>
            </w14:solidFill>
          </w14:textFill>
        </w:rPr>
        <w:t xml:space="preserve"> </w:t>
      </w:r>
    </w:p>
    <w:p w14:paraId="70EE7010">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在上一学年出现两门必修课成绩不及格的，其学业学术测评不合格。</w:t>
      </w:r>
      <w:r>
        <w:rPr>
          <w:rFonts w:hAnsi="宋体"/>
          <w:color w:val="000000" w:themeColor="text1"/>
          <w:highlight w:val="none"/>
          <w14:textFill>
            <w14:solidFill>
              <w14:schemeClr w14:val="tx1"/>
            </w14:solidFill>
          </w14:textFill>
        </w:rPr>
        <w:t xml:space="preserve"> </w:t>
      </w:r>
    </w:p>
    <w:p w14:paraId="50CD854A">
      <w:pPr>
        <w:pStyle w:val="16"/>
        <w:jc w:val="center"/>
        <w:rPr>
          <w:rFonts w:hAnsi="宋体"/>
          <w:b/>
          <w:color w:val="000000" w:themeColor="text1"/>
          <w:sz w:val="28"/>
          <w:szCs w:val="28"/>
          <w:highlight w:val="none"/>
          <w14:textFill>
            <w14:solidFill>
              <w14:schemeClr w14:val="tx1"/>
            </w14:solidFill>
          </w14:textFill>
        </w:rPr>
      </w:pPr>
    </w:p>
    <w:p w14:paraId="49BE7CD2">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第五章 实践能力测评F</w:t>
      </w:r>
      <w:r>
        <w:rPr>
          <w:rFonts w:hAnsi="宋体"/>
          <w:b/>
          <w:color w:val="000000" w:themeColor="text1"/>
          <w:sz w:val="28"/>
          <w:szCs w:val="28"/>
          <w:highlight w:val="none"/>
          <w14:textFill>
            <w14:solidFill>
              <w14:schemeClr w14:val="tx1"/>
            </w14:solidFill>
          </w14:textFill>
        </w:rPr>
        <w:t>3</w:t>
      </w:r>
    </w:p>
    <w:p w14:paraId="41D118B8">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实践能力测评满分5分，加分总额如超出5分，以5分计。实践能力测评包括社会工作（F3-1）和实践活动（F3-2）等方面，具体内容为：</w:t>
      </w:r>
    </w:p>
    <w:p w14:paraId="6269A7CC">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1．社会工作</w:t>
      </w:r>
      <w:r>
        <w:rPr>
          <w:rFonts w:hint="eastAsia" w:hAnsi="宋体"/>
          <w:color w:val="000000" w:themeColor="text1"/>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F3-1</w:t>
      </w:r>
      <w:r>
        <w:rPr>
          <w:rFonts w:hint="eastAsia" w:hAnsi="宋体"/>
          <w:color w:val="000000" w:themeColor="text1"/>
          <w:highlight w:val="none"/>
          <w14:textFill>
            <w14:solidFill>
              <w14:schemeClr w14:val="tx1"/>
            </w14:solidFill>
          </w14:textFill>
        </w:rPr>
        <w:t>）</w:t>
      </w:r>
    </w:p>
    <w:p w14:paraId="59DFCD40">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在学校和院系团学组织、党团支部、班级、学生社团中担任学生负责人的，在职能部门担任学生助理的,原则上时长为一学年并积极履行工作职责，不足一学年的按实际工作月份计算；社会工作方面的多项学生负责人职务（学生助理岗位）加分，按量化得分最高的职务（岗位）计算一次。</w:t>
      </w:r>
    </w:p>
    <w:p w14:paraId="34FEC76B">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2．实践活动</w:t>
      </w:r>
      <w:r>
        <w:rPr>
          <w:rFonts w:hint="eastAsia" w:hAnsi="宋体"/>
          <w:color w:val="000000" w:themeColor="text1"/>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F3-2</w:t>
      </w:r>
      <w:r>
        <w:rPr>
          <w:rFonts w:hint="eastAsia" w:hAnsi="宋体"/>
          <w:color w:val="000000" w:themeColor="text1"/>
          <w:highlight w:val="none"/>
          <w14:textFill>
            <w14:solidFill>
              <w14:schemeClr w14:val="tx1"/>
            </w14:solidFill>
          </w14:textFill>
        </w:rPr>
        <w:t>）</w:t>
      </w:r>
    </w:p>
    <w:p w14:paraId="5B9FA82C">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积极参加社会实践、志愿服务、公益活动、文体竞</w:t>
      </w:r>
      <w:r>
        <w:rPr>
          <w:rFonts w:hint="eastAsia" w:ascii="宋体" w:hAnsi="宋体"/>
          <w:strike w:val="0"/>
          <w:dstrike w:val="0"/>
          <w:color w:val="000000" w:themeColor="text1"/>
          <w:sz w:val="24"/>
          <w:highlight w:val="none"/>
          <w14:textFill>
            <w14:solidFill>
              <w14:schemeClr w14:val="tx1"/>
            </w14:solidFill>
          </w14:textFill>
        </w:rPr>
        <w:t>赛、创新创业活动</w:t>
      </w:r>
      <w:r>
        <w:rPr>
          <w:rFonts w:hint="eastAsia" w:ascii="宋体" w:hAnsi="宋体"/>
          <w:color w:val="000000" w:themeColor="text1"/>
          <w:sz w:val="24"/>
          <w:highlight w:val="none"/>
          <w14:textFill>
            <w14:solidFill>
              <w14:schemeClr w14:val="tx1"/>
            </w14:solidFill>
          </w14:textFill>
        </w:rPr>
        <w:t>等，并在活动中表现突出、取得成绩、获得表彰或产生良好社会影响。实践活动加分为鼓励性加分，参与即得分。</w:t>
      </w:r>
    </w:p>
    <w:p w14:paraId="2BB42D2A">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社会工作加分（各款不累加，取最高值）：</w:t>
      </w:r>
      <w:r>
        <w:rPr>
          <w:rFonts w:hAnsi="宋体"/>
          <w:color w:val="000000" w:themeColor="text1"/>
          <w:highlight w:val="none"/>
          <w14:textFill>
            <w14:solidFill>
              <w14:schemeClr w14:val="tx1"/>
            </w14:solidFill>
          </w14:textFill>
        </w:rPr>
        <w:t xml:space="preserve"> </w:t>
      </w:r>
    </w:p>
    <w:p w14:paraId="72F82033">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．在学院团学组织、党支部的主要学生负责人，由院学工办视其责任大小和工作表现，酌情加分，原则上：院团委学生副书记，学生会、研究生会主席团成员，新媒体中心副主任，酌情加</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分；院团委、学生会、研究生会、新媒体中心部门负责人，酌情加0-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分；党支部书记，酌情加0-</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分；党支部副书记、委员，酌情加0-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w:t>
      </w:r>
    </w:p>
    <w:p w14:paraId="21D9FBF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班级学生负责人（包括班委会、团支部委员会），班主任、年级辅导员根据日常工作表现分别提出加分意见，由院学工办认定，原则上：班长、团支书，酌情加0-1分（其中，班主任加0-0.5分，年级辅导员加0-0.5分）；副班长、团支部副书记、班委、团支部委员由班主任酌情加0-0.5分。</w:t>
      </w:r>
    </w:p>
    <w:p w14:paraId="3C04C57A">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若所在班级上一年度获得班级“五·四”奖杯、校级及以上“示范班集体”、“先进班集体”等荣誉称号，班级学生负责人加分可乘以1</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系数，以示鼓励。</w:t>
      </w:r>
    </w:p>
    <w:p w14:paraId="57731C5D">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在学校团学组织的主要学生负责人，由院学工办视其责任大小和工作表现，酌情加分，原则上：校团委学生副书记，学生会、研究生会主席团成员，常代会主任团成员，酌情加0-3分；校团委、学生会、研究生会部门负责人，常代表，酌情加0-2分。</w:t>
      </w:r>
    </w:p>
    <w:p w14:paraId="6C59F715">
      <w:pPr>
        <w:spacing w:line="360" w:lineRule="auto"/>
        <w:ind w:firstLine="480" w:firstLineChars="200"/>
        <w:rPr>
          <w:rFonts w:hAnsi="宋体"/>
          <w:strike/>
          <w:color w:val="000000" w:themeColor="text1"/>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．学校社团的主要学生负责人（包括艺术团、广播台、电视台、辩论队、勤工俭学团体、运动队、各</w:t>
      </w:r>
      <w:r>
        <w:rPr>
          <w:rFonts w:hint="eastAsia" w:ascii="宋体" w:hAnsi="宋体"/>
          <w:color w:val="000000" w:themeColor="text1"/>
          <w:sz w:val="24"/>
          <w:highlight w:val="none"/>
          <w:lang w:val="en-US" w:eastAsia="zh-CN"/>
          <w14:textFill>
            <w14:solidFill>
              <w14:schemeClr w14:val="tx1"/>
            </w14:solidFill>
          </w14:textFill>
        </w:rPr>
        <w:t>学生</w:t>
      </w:r>
      <w:r>
        <w:rPr>
          <w:rFonts w:hint="eastAsia" w:ascii="宋体" w:hAnsi="宋体"/>
          <w:color w:val="000000" w:themeColor="text1"/>
          <w:sz w:val="24"/>
          <w:highlight w:val="none"/>
          <w14:textFill>
            <w14:solidFill>
              <w14:schemeClr w14:val="tx1"/>
            </w14:solidFill>
          </w14:textFill>
        </w:rPr>
        <w:t>社团等）、学校职能部门或学院的学生助理、带班辅导员</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兼职辅导员</w:t>
      </w:r>
      <w:r>
        <w:rPr>
          <w:rFonts w:hint="eastAsia" w:ascii="宋体" w:hAnsi="宋体"/>
          <w:color w:val="000000" w:themeColor="text1"/>
          <w:sz w:val="24"/>
          <w:highlight w:val="none"/>
          <w14:textFill>
            <w14:solidFill>
              <w14:schemeClr w14:val="tx1"/>
            </w14:solidFill>
          </w14:textFill>
        </w:rPr>
        <w:t>，凭证明材料，由院学工办视其责任大小和工作表现，酌情加</w:t>
      </w:r>
      <w:r>
        <w:rPr>
          <w:rFonts w:ascii="宋体" w:hAnsi="宋体"/>
          <w:color w:val="000000" w:themeColor="text1"/>
          <w:sz w:val="24"/>
          <w:highlight w:val="none"/>
          <w14:textFill>
            <w14:solidFill>
              <w14:schemeClr w14:val="tx1"/>
            </w14:solidFill>
          </w14:textFill>
        </w:rPr>
        <w:t>0-</w:t>
      </w:r>
      <w:r>
        <w:rPr>
          <w:rFonts w:hint="eastAsia" w:ascii="宋体" w:hAnsi="宋体"/>
          <w:color w:val="000000" w:themeColor="text1"/>
          <w:sz w:val="24"/>
          <w:highlight w:val="none"/>
          <w14:textFill>
            <w14:solidFill>
              <w14:schemeClr w14:val="tx1"/>
            </w14:solidFill>
          </w14:textFill>
        </w:rPr>
        <w:t>1分。</w:t>
      </w:r>
    </w:p>
    <w:p w14:paraId="27125B43">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实践活动加分（累加不超过</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w:t>
      </w:r>
    </w:p>
    <w:p w14:paraId="1EC101A8">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参加校内外各社会实践、志愿服务、公益活动、文体竞赛、创新创业等活动，由本人自行申报加分，因课程要求参加的活动不予加分。申报内容包括活动名称、时间、地点、活动证明人及联系方式、本人参与内容。经班级认定后，每项加0.1分，累加不超过</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w:t>
      </w:r>
    </w:p>
    <w:p w14:paraId="4E0C993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参加学校或学院组织的学生集体思政活动者，由本人自行申报加分。申报内容包括活动名称、时间、地点、活动证明人及联系方式、本人参与内容。经班级认定后，每项加0.</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分，累加不超过</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w:t>
      </w:r>
    </w:p>
    <w:p w14:paraId="33A99C5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若在所参与的活动、文体竞赛中获得院级以上奖励（含），经班级认定后，每项加0.2分，累加不超过1分。</w:t>
      </w:r>
    </w:p>
    <w:p w14:paraId="758748BB">
      <w:pPr>
        <w:pStyle w:val="16"/>
        <w:spacing w:line="360" w:lineRule="auto"/>
        <w:ind w:firstLine="480" w:firstLineChars="200"/>
        <w:jc w:val="both"/>
        <w:rPr>
          <w:rFonts w:hAnsi="宋体"/>
          <w:strike/>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w:t>
      </w:r>
      <w:r>
        <w:rPr>
          <w:rFonts w:hAnsi="宋体"/>
          <w:color w:val="000000" w:themeColor="text1"/>
          <w:highlight w:val="non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参加由学校或院系推荐的国际组织实习超过</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个月，并能够提供推荐材料与实习鉴定者，加</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分；参加多项实习的可累加，累加不超过1分。</w:t>
      </w:r>
    </w:p>
    <w:p w14:paraId="03909EA7">
      <w:pPr>
        <w:pStyle w:val="16"/>
        <w:jc w:val="center"/>
        <w:rPr>
          <w:rFonts w:hAnsi="宋体"/>
          <w:b/>
          <w:color w:val="000000" w:themeColor="text1"/>
          <w:sz w:val="28"/>
          <w:szCs w:val="28"/>
          <w:highlight w:val="none"/>
          <w14:textFill>
            <w14:solidFill>
              <w14:schemeClr w14:val="tx1"/>
            </w14:solidFill>
          </w14:textFill>
        </w:rPr>
      </w:pPr>
    </w:p>
    <w:p w14:paraId="5517F40B">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第六章 测评相关要求</w:t>
      </w:r>
    </w:p>
    <w:p w14:paraId="5408383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测评内容中，相关成果为上一学年以学生身份参加且署名中体现“北京大学”的方为有效。</w:t>
      </w:r>
    </w:p>
    <w:p w14:paraId="432CED22">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测评内容中，涉及到对集体成果的量化时，应区分起主要作用者和次要作用者，根据实际贡献大小，分别予以计算。 </w:t>
      </w:r>
    </w:p>
    <w:p w14:paraId="0A385EE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经核实在测评过程中弄虚作假、虚报材料的，其素质综合测评不合格，且</w:t>
      </w:r>
      <w:r>
        <w:rPr>
          <w:rFonts w:hAnsi="宋体"/>
          <w:color w:val="000000" w:themeColor="text1"/>
          <w:highlight w:val="none"/>
          <w14:textFill>
            <w14:solidFill>
              <w14:schemeClr w14:val="tx1"/>
            </w14:solidFill>
          </w14:textFill>
        </w:rPr>
        <w:t>不</w:t>
      </w:r>
      <w:r>
        <w:rPr>
          <w:rFonts w:hint="eastAsia" w:hAnsi="宋体"/>
          <w:color w:val="000000" w:themeColor="text1"/>
          <w:highlight w:val="none"/>
          <w14:textFill>
            <w14:solidFill>
              <w14:schemeClr w14:val="tx1"/>
            </w14:solidFill>
          </w14:textFill>
        </w:rPr>
        <w:t>得</w:t>
      </w:r>
      <w:r>
        <w:rPr>
          <w:rFonts w:hAnsi="宋体"/>
          <w:color w:val="000000" w:themeColor="text1"/>
          <w:highlight w:val="none"/>
          <w14:textFill>
            <w14:solidFill>
              <w14:schemeClr w14:val="tx1"/>
            </w14:solidFill>
          </w14:textFill>
        </w:rPr>
        <w:t>参</w:t>
      </w:r>
      <w:r>
        <w:rPr>
          <w:rFonts w:hint="eastAsia" w:hAnsi="宋体"/>
          <w:color w:val="000000" w:themeColor="text1"/>
          <w:highlight w:val="none"/>
          <w14:textFill>
            <w14:solidFill>
              <w14:schemeClr w14:val="tx1"/>
            </w14:solidFill>
          </w14:textFill>
        </w:rPr>
        <w:t>加</w:t>
      </w:r>
      <w:r>
        <w:rPr>
          <w:rFonts w:hAnsi="宋体"/>
          <w:color w:val="000000" w:themeColor="text1"/>
          <w:highlight w:val="none"/>
          <w14:textFill>
            <w14:solidFill>
              <w14:schemeClr w14:val="tx1"/>
            </w14:solidFill>
          </w14:textFill>
        </w:rPr>
        <w:t>奖励奖学金评</w:t>
      </w:r>
      <w:r>
        <w:rPr>
          <w:rFonts w:hint="eastAsia" w:hAnsi="宋体"/>
          <w:color w:val="000000" w:themeColor="text1"/>
          <w:highlight w:val="none"/>
          <w14:textFill>
            <w14:solidFill>
              <w14:schemeClr w14:val="tx1"/>
            </w14:solidFill>
          </w14:textFill>
        </w:rPr>
        <w:t>选。</w:t>
      </w:r>
    </w:p>
    <w:p w14:paraId="09D27602">
      <w:pPr>
        <w:pStyle w:val="16"/>
        <w:jc w:val="center"/>
        <w:rPr>
          <w:rFonts w:hAnsi="宋体"/>
          <w:b/>
          <w:color w:val="000000" w:themeColor="text1"/>
          <w:sz w:val="28"/>
          <w:szCs w:val="28"/>
          <w:highlight w:val="none"/>
          <w14:textFill>
            <w14:solidFill>
              <w14:schemeClr w14:val="tx1"/>
            </w14:solidFill>
          </w14:textFill>
        </w:rPr>
      </w:pPr>
    </w:p>
    <w:p w14:paraId="284CF34A">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第七章 评审机构与评审程序</w:t>
      </w:r>
      <w:r>
        <w:rPr>
          <w:rFonts w:hAnsi="宋体"/>
          <w:b/>
          <w:color w:val="000000" w:themeColor="text1"/>
          <w:sz w:val="28"/>
          <w:szCs w:val="28"/>
          <w:highlight w:val="none"/>
          <w14:textFill>
            <w14:solidFill>
              <w14:schemeClr w14:val="tx1"/>
            </w14:solidFill>
          </w14:textFill>
        </w:rPr>
        <w:t xml:space="preserve"> </w:t>
      </w:r>
    </w:p>
    <w:p w14:paraId="2796FEFB">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院设立学生素质综合测评工作小组（以下简称工作小组）负责评审工作，组长由学院主管学生工作的党委副书记担任，秘书长由专职团委书记担任，评审小组成员包括学生工作办公室老师、教师代表、班主任代表、学生代表等。工作小组监督并裁定测评过程中出现的问题。</w:t>
      </w:r>
      <w:r>
        <w:rPr>
          <w:rFonts w:hAnsi="宋体"/>
          <w:color w:val="000000" w:themeColor="text1"/>
          <w:highlight w:val="none"/>
          <w14:textFill>
            <w14:solidFill>
              <w14:schemeClr w14:val="tx1"/>
            </w14:solidFill>
          </w14:textFill>
        </w:rPr>
        <w:t xml:space="preserve"> </w:t>
      </w:r>
    </w:p>
    <w:p w14:paraId="599B55FB">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各</w:t>
      </w:r>
      <w:r>
        <w:rPr>
          <w:rFonts w:hAnsi="宋体"/>
          <w:color w:val="000000" w:themeColor="text1"/>
          <w:highlight w:val="none"/>
          <w14:textFill>
            <w14:solidFill>
              <w14:schemeClr w14:val="tx1"/>
            </w14:solidFill>
          </w14:textFill>
        </w:rPr>
        <w:t>班设立班级素质综合测评工作小组，</w:t>
      </w:r>
      <w:r>
        <w:rPr>
          <w:rFonts w:hint="eastAsia" w:hAnsi="宋体"/>
          <w:color w:val="000000" w:themeColor="text1"/>
          <w:highlight w:val="none"/>
          <w14:textFill>
            <w14:solidFill>
              <w14:schemeClr w14:val="tx1"/>
            </w14:solidFill>
          </w14:textFill>
        </w:rPr>
        <w:t>在班主任指导下负责本班素质综合测评的各项评审工作，并对各项评审结果承担相应责任。该工作</w:t>
      </w:r>
      <w:r>
        <w:rPr>
          <w:rFonts w:hAnsi="宋体"/>
          <w:color w:val="000000" w:themeColor="text1"/>
          <w:highlight w:val="none"/>
          <w14:textFill>
            <w14:solidFill>
              <w14:schemeClr w14:val="tx1"/>
            </w14:solidFill>
          </w14:textFill>
        </w:rPr>
        <w:t>小组成员</w:t>
      </w:r>
      <w:r>
        <w:rPr>
          <w:rFonts w:hint="eastAsia" w:hAnsi="宋体"/>
          <w:color w:val="000000" w:themeColor="text1"/>
          <w:highlight w:val="none"/>
          <w14:textFill>
            <w14:solidFill>
              <w14:schemeClr w14:val="tx1"/>
            </w14:solidFill>
          </w14:textFill>
        </w:rPr>
        <w:t>应</w:t>
      </w:r>
      <w:r>
        <w:rPr>
          <w:rFonts w:hAnsi="宋体"/>
          <w:color w:val="000000" w:themeColor="text1"/>
          <w:highlight w:val="none"/>
          <w14:textFill>
            <w14:solidFill>
              <w14:schemeClr w14:val="tx1"/>
            </w14:solidFill>
          </w14:textFill>
        </w:rPr>
        <w:t>由包含班长、团支书</w:t>
      </w:r>
      <w:r>
        <w:rPr>
          <w:rFonts w:hint="eastAsia" w:hAnsi="宋体"/>
          <w:color w:val="000000" w:themeColor="text1"/>
          <w:highlight w:val="none"/>
          <w14:textFill>
            <w14:solidFill>
              <w14:schemeClr w14:val="tx1"/>
            </w14:solidFill>
          </w14:textFill>
        </w:rPr>
        <w:t>等主要学生骨干，并包含至少1名学生代表，班长或团支书不能履职时，由班主任指定或通过民主选举决定本班其他同学代为履职。</w:t>
      </w:r>
      <w:r>
        <w:rPr>
          <w:rFonts w:hAnsi="宋体"/>
          <w:color w:val="000000" w:themeColor="text1"/>
          <w:highlight w:val="none"/>
          <w14:textFill>
            <w14:solidFill>
              <w14:schemeClr w14:val="tx1"/>
            </w14:solidFill>
          </w14:textFill>
        </w:rPr>
        <w:t xml:space="preserve"> </w:t>
      </w:r>
    </w:p>
    <w:p w14:paraId="0187773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各班级的基本素质测评首先由学生本人向全班同学提交学年小结（学年小结内容应与学生本人在“校内门户-业务办理-学工部-素质测评”系统所填写完成的素质测评线上部分内容相符合），然后在班主任主持下，进行民主评议、打分，成绩核算由班主任带领</w:t>
      </w:r>
      <w:r>
        <w:rPr>
          <w:rFonts w:hAnsi="宋体"/>
          <w:color w:val="000000" w:themeColor="text1"/>
          <w:highlight w:val="none"/>
          <w14:textFill>
            <w14:solidFill>
              <w14:schemeClr w14:val="tx1"/>
            </w14:solidFill>
          </w14:textFill>
        </w:rPr>
        <w:t>班级素质综合测评工作小组</w:t>
      </w:r>
      <w:r>
        <w:rPr>
          <w:rFonts w:hint="eastAsia" w:hAnsi="宋体"/>
          <w:color w:val="000000" w:themeColor="text1"/>
          <w:highlight w:val="none"/>
          <w14:textFill>
            <w14:solidFill>
              <w14:schemeClr w14:val="tx1"/>
            </w14:solidFill>
          </w14:textFill>
        </w:rPr>
        <w:t>进行；如果不提交学年小结，则视为放弃参与奖励、奖学金评选。</w:t>
      </w:r>
      <w:r>
        <w:rPr>
          <w:rFonts w:hAnsi="宋体"/>
          <w:color w:val="000000" w:themeColor="text1"/>
          <w:highlight w:val="none"/>
          <w14:textFill>
            <w14:solidFill>
              <w14:schemeClr w14:val="tx1"/>
            </w14:solidFill>
          </w14:textFill>
        </w:rPr>
        <w:t xml:space="preserve"> </w:t>
      </w:r>
    </w:p>
    <w:p w14:paraId="609F8C25">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的学术科研成果加分项，原则上由学生本人提供证明材料，班主任初步认定并初步加分后报系（所、中心）负责人审核，之后报学院奖励奖学金评审小组审定。实践能力加分项，除班级学生负责人外，其他加分项均由院学工办根据相关材料认定加分意见，之后报学院奖励奖学金评审小组审定。</w:t>
      </w:r>
    </w:p>
    <w:p w14:paraId="49A3B464">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班主任在测评结束后，应及时将签过字的素质综合测评结果和相应附加材料上报学院工作小组。</w:t>
      </w:r>
      <w:r>
        <w:rPr>
          <w:rFonts w:hAnsi="宋体"/>
          <w:color w:val="000000" w:themeColor="text1"/>
          <w:highlight w:val="none"/>
          <w14:textFill>
            <w14:solidFill>
              <w14:schemeClr w14:val="tx1"/>
            </w14:solidFill>
          </w14:textFill>
        </w:rPr>
        <w:t xml:space="preserve"> </w:t>
      </w:r>
    </w:p>
    <w:p w14:paraId="1CA6531C">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素质综合测评结果应在基本组织单位范围内（本科生原则上以班级为基本组织单位，研究生以二级学科为基本组织单位）公示，原则上公示期不少于3日。</w:t>
      </w:r>
    </w:p>
    <w:p w14:paraId="00DEAA83">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学生对素质综合测评结果有异议，</w:t>
      </w:r>
      <w:r>
        <w:rPr>
          <w:rFonts w:hAnsi="宋体"/>
          <w:color w:val="000000" w:themeColor="text1"/>
          <w:highlight w:val="none"/>
          <w14:textFill>
            <w14:solidFill>
              <w14:schemeClr w14:val="tx1"/>
            </w14:solidFill>
          </w14:textFill>
        </w:rPr>
        <w:t>应</w:t>
      </w:r>
      <w:r>
        <w:rPr>
          <w:rFonts w:hint="eastAsia" w:hAnsi="宋体"/>
          <w:color w:val="000000" w:themeColor="text1"/>
          <w:highlight w:val="none"/>
          <w14:textFill>
            <w14:solidFill>
              <w14:schemeClr w14:val="tx1"/>
            </w14:solidFill>
          </w14:textFill>
        </w:rPr>
        <w:t>在公示期内向学院工作小组提出书面申诉，工作小组应在</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个工作日内核实情况，作出相应处理。若学生对学院工作小组的答复或处理仍有异议，可在接到答复或得知处理结果后3个工作日内向学生工作部提出书面申诉，学生工作部应在接受申诉后3个工作日内核实情况，做出相应处理。</w:t>
      </w:r>
      <w:r>
        <w:rPr>
          <w:rFonts w:hAnsi="宋体"/>
          <w:color w:val="000000" w:themeColor="text1"/>
          <w:highlight w:val="none"/>
          <w14:textFill>
            <w14:solidFill>
              <w14:schemeClr w14:val="tx1"/>
            </w14:solidFill>
          </w14:textFill>
        </w:rPr>
        <w:t xml:space="preserve"> </w:t>
      </w:r>
    </w:p>
    <w:p w14:paraId="15B2EB8F">
      <w:pPr>
        <w:pStyle w:val="16"/>
        <w:spacing w:line="360" w:lineRule="auto"/>
        <w:ind w:firstLine="480" w:firstLineChars="200"/>
        <w:jc w:val="both"/>
        <w:rPr>
          <w:rFonts w:hAnsi="宋体"/>
          <w:color w:val="000000" w:themeColor="text1"/>
          <w:highlight w:val="none"/>
          <w14:textFill>
            <w14:solidFill>
              <w14:schemeClr w14:val="tx1"/>
            </w14:solidFill>
          </w14:textFill>
        </w:rPr>
      </w:pPr>
    </w:p>
    <w:p w14:paraId="2C47CE6F">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第八章 评审最终结果及其应用</w:t>
      </w:r>
      <w:r>
        <w:rPr>
          <w:rFonts w:hAnsi="宋体"/>
          <w:b/>
          <w:color w:val="000000" w:themeColor="text1"/>
          <w:sz w:val="28"/>
          <w:szCs w:val="28"/>
          <w:highlight w:val="none"/>
          <w14:textFill>
            <w14:solidFill>
              <w14:schemeClr w14:val="tx1"/>
            </w14:solidFill>
          </w14:textFill>
        </w:rPr>
        <w:t xml:space="preserve"> </w:t>
      </w:r>
    </w:p>
    <w:p w14:paraId="37771474">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每学年学生素质综合测评的最终结果（</w:t>
      </w:r>
      <w:r>
        <w:rPr>
          <w:rFonts w:hAnsi="宋体"/>
          <w:color w:val="000000" w:themeColor="text1"/>
          <w:highlight w:val="none"/>
          <w14:textFill>
            <w14:solidFill>
              <w14:schemeClr w14:val="tx1"/>
            </w14:solidFill>
          </w14:textFill>
        </w:rPr>
        <w:t>F</w:t>
      </w:r>
      <w:r>
        <w:rPr>
          <w:rFonts w:hint="eastAsia" w:hAnsi="宋体"/>
          <w:color w:val="000000" w:themeColor="text1"/>
          <w:highlight w:val="none"/>
          <w14:textFill>
            <w14:solidFill>
              <w14:schemeClr w14:val="tx1"/>
            </w14:solidFill>
          </w14:textFill>
        </w:rPr>
        <w:t>）是基本素质（F</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）、学业学术（F</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）和实践能力(</w:t>
      </w:r>
      <w:r>
        <w:rPr>
          <w:rFonts w:hAnsi="宋体"/>
          <w:color w:val="000000" w:themeColor="text1"/>
          <w:highlight w:val="none"/>
          <w14:textFill>
            <w14:solidFill>
              <w14:schemeClr w14:val="tx1"/>
            </w14:solidFill>
          </w14:textFill>
        </w:rPr>
        <w:t>F3</w:t>
      </w:r>
      <w:r>
        <w:rPr>
          <w:rFonts w:hint="eastAsia" w:hAnsi="宋体"/>
          <w:color w:val="000000" w:themeColor="text1"/>
          <w:highlight w:val="none"/>
          <w14:textFill>
            <w14:solidFill>
              <w14:schemeClr w14:val="tx1"/>
            </w14:solidFill>
          </w14:textFill>
        </w:rPr>
        <w:t>)三部分加分累计的总和，即：</w:t>
      </w:r>
      <w:r>
        <w:rPr>
          <w:rFonts w:hAnsi="宋体"/>
          <w:color w:val="000000" w:themeColor="text1"/>
          <w:highlight w:val="none"/>
          <w14:textFill>
            <w14:solidFill>
              <w14:schemeClr w14:val="tx1"/>
            </w14:solidFill>
          </w14:textFill>
        </w:rPr>
        <w:t>F=F1+F2+F3</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 xml:space="preserve"> </w:t>
      </w:r>
    </w:p>
    <w:p w14:paraId="527E1FC5">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测评结果作为每学年评奖学金的主要依据和评奖励的重要参考，学业学术测评不合格或基本素质测评不合格者不得参加评选。</w:t>
      </w:r>
      <w:r>
        <w:rPr>
          <w:rFonts w:hAnsi="宋体"/>
          <w:color w:val="000000" w:themeColor="text1"/>
          <w:highlight w:val="none"/>
          <w14:textFill>
            <w14:solidFill>
              <w14:schemeClr w14:val="tx1"/>
            </w14:solidFill>
          </w14:textFill>
        </w:rPr>
        <w:t xml:space="preserve"> </w:t>
      </w:r>
    </w:p>
    <w:p w14:paraId="3D7D90E9">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（一）奖学金</w:t>
      </w:r>
    </w:p>
    <w:p w14:paraId="1E54177D">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1.奖学金按各系（所、中心）及班级人数比例综合平衡分配名额；</w:t>
      </w:r>
    </w:p>
    <w:p w14:paraId="30B42BBE">
      <w:pPr>
        <w:pStyle w:val="16"/>
        <w:spacing w:line="360" w:lineRule="auto"/>
        <w:ind w:firstLine="480" w:firstLineChars="200"/>
        <w:jc w:val="both"/>
        <w:rPr>
          <w:rFonts w:hint="eastAsia" w:hAnsi="宋体" w:eastAsia="宋体"/>
          <w:color w:val="000000" w:themeColor="text1"/>
          <w:highlight w:val="none"/>
          <w:lang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国家奖学金、五四奖学金由学院组织统一评审</w:t>
      </w:r>
      <w:r>
        <w:rPr>
          <w:rFonts w:hint="eastAsia" w:hAnsi="宋体"/>
          <w:color w:val="000000" w:themeColor="text1"/>
          <w:highlight w:val="none"/>
          <w:lang w:eastAsia="zh-CN"/>
          <w14:textFill>
            <w14:solidFill>
              <w14:schemeClr w14:val="tx1"/>
            </w14:solidFill>
          </w14:textFill>
        </w:rPr>
        <w:t>；</w:t>
      </w:r>
    </w:p>
    <w:p w14:paraId="7CEA0AD2">
      <w:pPr>
        <w:pStyle w:val="16"/>
        <w:spacing w:line="360" w:lineRule="auto"/>
        <w:ind w:firstLine="480" w:firstLineChars="200"/>
        <w:jc w:val="both"/>
        <w:rPr>
          <w:rFonts w:hint="eastAsia" w:hAnsi="宋体"/>
          <w:color w:val="000000" w:themeColor="text1"/>
          <w:highlight w:val="none"/>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3</w:t>
      </w:r>
      <w:r>
        <w:rPr>
          <w:rFonts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除国家奖学金、五四奖学金外，其余奖学金</w:t>
      </w:r>
      <w:r>
        <w:rPr>
          <w:rFonts w:hint="eastAsia" w:hAnsi="宋体"/>
          <w:color w:val="000000" w:themeColor="text1"/>
          <w:highlight w:val="none"/>
          <w14:textFill>
            <w14:solidFill>
              <w14:schemeClr w14:val="tx1"/>
            </w14:solidFill>
          </w14:textFill>
        </w:rPr>
        <w:t>在班主任的组织下，由班级全体同学对奖学金候选人进行奖学金民意测评，对申请者投“同意”“不同意”或“弃权”票，原则上“同意票”得票率低于50%者不能获得奖学金。</w:t>
      </w:r>
    </w:p>
    <w:p w14:paraId="09FC3DBC">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4</w:t>
      </w:r>
      <w:r>
        <w:rPr>
          <w:rFonts w:hint="eastAsia" w:hAnsi="宋体"/>
          <w:color w:val="000000" w:themeColor="text1"/>
          <w:highlight w:val="none"/>
          <w14:textFill>
            <w14:solidFill>
              <w14:schemeClr w14:val="tx1"/>
            </w14:solidFill>
          </w14:textFill>
        </w:rPr>
        <w:t>.所有通过奖学金民意测评的申请者主要依据素质综合测评得分排序，由学院统筹确定具体奖学金。</w:t>
      </w:r>
    </w:p>
    <w:p w14:paraId="7087A6A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（二）奖励</w:t>
      </w:r>
      <w:r>
        <w:rPr>
          <w:rFonts w:hAnsi="宋体"/>
          <w:color w:val="000000" w:themeColor="text1"/>
          <w:highlight w:val="none"/>
          <w14:textFill>
            <w14:solidFill>
              <w14:schemeClr w14:val="tx1"/>
            </w14:solidFill>
          </w14:textFill>
        </w:rPr>
        <w:t xml:space="preserve"> </w:t>
      </w:r>
    </w:p>
    <w:p w14:paraId="7F06CCB9">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1.三好学生标兵</w:t>
      </w:r>
      <w:r>
        <w:rPr>
          <w:rFonts w:hAnsi="宋体"/>
          <w:color w:val="000000" w:themeColor="text1"/>
          <w:highlight w:val="none"/>
          <w14:textFill>
            <w14:solidFill>
              <w14:schemeClr w14:val="tx1"/>
            </w14:solidFill>
          </w14:textFill>
        </w:rPr>
        <w:t>、三好学生</w:t>
      </w:r>
    </w:p>
    <w:p w14:paraId="35A5A82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国家奖学金、五四奖学金获得者获得</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三好学生标兵</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或</w:t>
      </w:r>
      <w:r>
        <w:rPr>
          <w:rFonts w:hint="eastAsia" w:hAnsi="宋体"/>
          <w:color w:val="000000" w:themeColor="text1"/>
          <w:highlight w:val="none"/>
          <w:lang w:eastAsia="zh-CN"/>
          <w14:textFill>
            <w14:solidFill>
              <w14:schemeClr w14:val="tx1"/>
            </w14:solidFill>
          </w14:textFill>
        </w:rPr>
        <w:t>“</w:t>
      </w:r>
      <w:r>
        <w:rPr>
          <w:rFonts w:hAnsi="宋体"/>
          <w:color w:val="000000" w:themeColor="text1"/>
          <w:highlight w:val="none"/>
          <w14:textFill>
            <w14:solidFill>
              <w14:schemeClr w14:val="tx1"/>
            </w14:solidFill>
          </w14:textFill>
        </w:rPr>
        <w:t>三好学生</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荣誉。</w:t>
      </w:r>
      <w:r>
        <w:rPr>
          <w:rFonts w:hint="eastAsia" w:hAnsi="宋体"/>
          <w:color w:val="000000" w:themeColor="text1"/>
          <w:highlight w:val="none"/>
          <w14:textFill>
            <w14:solidFill>
              <w14:schemeClr w14:val="tx1"/>
            </w14:solidFill>
          </w14:textFill>
        </w:rPr>
        <w:t>其余三好学生标兵</w:t>
      </w:r>
      <w:r>
        <w:rPr>
          <w:rFonts w:hAnsi="宋体"/>
          <w:color w:val="000000" w:themeColor="text1"/>
          <w:highlight w:val="none"/>
          <w14:textFill>
            <w14:solidFill>
              <w14:schemeClr w14:val="tx1"/>
            </w14:solidFill>
          </w14:textFill>
        </w:rPr>
        <w:t>、三好学生</w:t>
      </w:r>
      <w:r>
        <w:rPr>
          <w:rFonts w:hint="eastAsia" w:hAnsi="宋体"/>
          <w:color w:val="000000" w:themeColor="text1"/>
          <w:highlight w:val="none"/>
          <w14:textFill>
            <w14:solidFill>
              <w14:schemeClr w14:val="tx1"/>
            </w14:solidFill>
          </w14:textFill>
        </w:rPr>
        <w:t>名额的</w:t>
      </w:r>
      <w:r>
        <w:rPr>
          <w:rFonts w:hAnsi="宋体"/>
          <w:color w:val="000000" w:themeColor="text1"/>
          <w:highlight w:val="none"/>
          <w14:textFill>
            <w14:solidFill>
              <w14:schemeClr w14:val="tx1"/>
            </w14:solidFill>
          </w14:textFill>
        </w:rPr>
        <w:t>推荐办法与奖学金相同</w:t>
      </w:r>
      <w:r>
        <w:rPr>
          <w:rFonts w:hint="eastAsia" w:hAnsi="宋体"/>
          <w:color w:val="000000" w:themeColor="text1"/>
          <w:highlight w:val="none"/>
          <w14:textFill>
            <w14:solidFill>
              <w14:schemeClr w14:val="tx1"/>
            </w14:solidFill>
          </w14:textFill>
        </w:rPr>
        <w:t>，即所有通过民意测评的申请者主要依据素质综合测评得分排序。此外，对于奖学金名额多于三好学生标兵和三好学生名额的班级，提名获得校级奖学金的，优先获得学习优秀奖。</w:t>
      </w:r>
    </w:p>
    <w:p w14:paraId="01F1EC1E">
      <w:pPr>
        <w:pStyle w:val="16"/>
        <w:numPr>
          <w:ilvl w:val="0"/>
          <w:numId w:val="2"/>
        </w:numPr>
        <w:spacing w:line="360" w:lineRule="auto"/>
        <w:ind w:firstLine="480" w:firstLineChars="200"/>
        <w:jc w:val="both"/>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单项奖</w:t>
      </w:r>
    </w:p>
    <w:p w14:paraId="4910CB5D">
      <w:pPr>
        <w:pStyle w:val="16"/>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both"/>
        <w:textAlignment w:val="auto"/>
        <w:rPr>
          <w:rFonts w:hAnsi="宋体"/>
          <w:strike/>
          <w:dstrike w:val="0"/>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单项奖依据素质综合测评得分排序。其中，学习优秀奖须素质综合测评为前3</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%，且要求符合学校奖励条例</w:t>
      </w:r>
      <w:r>
        <w:rPr>
          <w:rFonts w:hint="eastAsia" w:hAnsi="宋体"/>
          <w:color w:val="000000" w:themeColor="text1"/>
          <w:highlight w:val="none"/>
          <w:lang w:eastAsia="zh-CN"/>
          <w14:textFill>
            <w14:solidFill>
              <w14:schemeClr w14:val="tx1"/>
            </w14:solidFill>
          </w14:textFill>
        </w:rPr>
        <w:t>。</w:t>
      </w:r>
    </w:p>
    <w:p w14:paraId="45A6956B">
      <w:pPr>
        <w:pStyle w:val="16"/>
        <w:spacing w:line="360" w:lineRule="auto"/>
        <w:jc w:val="both"/>
        <w:rPr>
          <w:rFonts w:hAnsi="宋体"/>
          <w:color w:val="000000" w:themeColor="text1"/>
          <w:highlight w:val="none"/>
          <w14:textFill>
            <w14:solidFill>
              <w14:schemeClr w14:val="tx1"/>
            </w14:solidFill>
          </w14:textFill>
        </w:rPr>
      </w:pPr>
    </w:p>
    <w:p w14:paraId="0207127A">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b/>
          <w:color w:val="000000" w:themeColor="text1"/>
          <w:sz w:val="28"/>
          <w:highlight w:val="none"/>
          <w14:textFill>
            <w14:solidFill>
              <w14:schemeClr w14:val="tx1"/>
            </w14:solidFill>
          </w14:textFill>
        </w:rPr>
      </w:pPr>
      <w:r>
        <w:rPr>
          <w:rFonts w:hint="eastAsia" w:hAnsi="宋体"/>
          <w:b/>
          <w:color w:val="000000" w:themeColor="text1"/>
          <w:sz w:val="28"/>
          <w:highlight w:val="none"/>
          <w14:textFill>
            <w14:solidFill>
              <w14:schemeClr w14:val="tx1"/>
            </w14:solidFill>
          </w14:textFill>
        </w:rPr>
        <w:t>第九章 附则</w:t>
      </w:r>
    </w:p>
    <w:p w14:paraId="5E7A66DF">
      <w:pPr>
        <w:pStyle w:val="16"/>
        <w:keepNext/>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0" w:firstLine="480" w:firstLineChars="200"/>
        <w:jc w:val="both"/>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港澳台侨学生、留学生参加素质综合测评，参照本办法进行。</w:t>
      </w:r>
    </w:p>
    <w:p w14:paraId="552DC2DF">
      <w:pPr>
        <w:pStyle w:val="16"/>
        <w:keepNext/>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0" w:firstLine="480" w:firstLineChars="200"/>
        <w:jc w:val="both"/>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本细则经</w:t>
      </w:r>
      <w:r>
        <w:rPr>
          <w:rFonts w:hAnsi="宋体"/>
          <w:color w:val="000000" w:themeColor="text1"/>
          <w:highlight w:val="none"/>
          <w14:textFill>
            <w14:solidFill>
              <w14:schemeClr w14:val="tx1"/>
            </w14:solidFill>
          </w14:textFill>
        </w:rPr>
        <w:t>202</w:t>
      </w:r>
      <w:r>
        <w:rPr>
          <w:rFonts w:hint="eastAsia" w:hAnsi="宋体"/>
          <w:color w:val="000000" w:themeColor="text1"/>
          <w:highlight w:val="none"/>
          <w14:textFill>
            <w14:solidFill>
              <w14:schemeClr w14:val="tx1"/>
            </w14:solidFill>
          </w14:textFill>
        </w:rPr>
        <w:t>6年</w:t>
      </w:r>
      <w:r>
        <w:rPr>
          <w:rFonts w:hint="eastAsia" w:hAnsi="宋体"/>
          <w:color w:val="000000" w:themeColor="text1"/>
          <w:highlight w:val="none"/>
          <w:lang w:val="en-US" w:eastAsia="zh-CN"/>
          <w14:textFill>
            <w14:solidFill>
              <w14:schemeClr w14:val="tx1"/>
            </w14:solidFill>
          </w14:textFill>
        </w:rPr>
        <w:t>6</w:t>
      </w:r>
      <w:r>
        <w:rPr>
          <w:rFonts w:hint="eastAsia" w:hAnsi="宋体"/>
          <w:color w:val="000000" w:themeColor="text1"/>
          <w:highlight w:val="none"/>
          <w14:textFill>
            <w14:solidFill>
              <w14:schemeClr w14:val="tx1"/>
            </w14:solidFill>
          </w14:textFill>
        </w:rPr>
        <w:t>月</w:t>
      </w:r>
      <w:r>
        <w:rPr>
          <w:rFonts w:hint="eastAsia" w:hAnsi="宋体"/>
          <w:color w:val="000000" w:themeColor="text1"/>
          <w:highlight w:val="none"/>
          <w:lang w:val="en-US" w:eastAsia="zh-CN"/>
          <w14:textFill>
            <w14:solidFill>
              <w14:schemeClr w14:val="tx1"/>
            </w14:solidFill>
          </w14:textFill>
        </w:rPr>
        <w:t>25</w:t>
      </w:r>
      <w:r>
        <w:rPr>
          <w:rFonts w:hint="eastAsia" w:hAnsi="宋体"/>
          <w:color w:val="000000" w:themeColor="text1"/>
          <w:highlight w:val="none"/>
          <w14:textFill>
            <w14:solidFill>
              <w14:schemeClr w14:val="tx1"/>
            </w14:solidFill>
          </w14:textFill>
        </w:rPr>
        <w:t>日学生工作指导委员会审议通过，自20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6年</w:t>
      </w:r>
      <w:r>
        <w:rPr>
          <w:rFonts w:hAnsi="宋体"/>
          <w:color w:val="000000" w:themeColor="text1"/>
          <w:highlight w:val="none"/>
          <w14:textFill>
            <w14:solidFill>
              <w14:schemeClr w14:val="tx1"/>
            </w14:solidFill>
          </w14:textFill>
        </w:rPr>
        <w:t>8</w:t>
      </w:r>
      <w:r>
        <w:rPr>
          <w:rFonts w:hint="eastAsia" w:hAnsi="宋体"/>
          <w:color w:val="000000" w:themeColor="text1"/>
          <w:highlight w:val="none"/>
          <w14:textFill>
            <w14:solidFill>
              <w14:schemeClr w14:val="tx1"/>
            </w14:solidFill>
          </w14:textFill>
        </w:rPr>
        <w:t>月1日起实施，由学院工作小组负责解释。</w:t>
      </w:r>
    </w:p>
    <w:p w14:paraId="216CBDC2">
      <w:pPr>
        <w:pStyle w:val="16"/>
        <w:keepNext/>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Ansi="宋体"/>
          <w:color w:val="000000" w:themeColor="text1"/>
          <w:highlight w:val="none"/>
          <w14:textFill>
            <w14:solidFill>
              <w14:schemeClr w14:val="tx1"/>
            </w14:solidFill>
          </w14:textFill>
        </w:rPr>
      </w:pPr>
    </w:p>
    <w:p w14:paraId="421001B5">
      <w:pPr>
        <w:pStyle w:val="16"/>
        <w:keepNext/>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Ansi="宋体"/>
          <w:color w:val="000000" w:themeColor="text1"/>
          <w:highlight w:val="none"/>
          <w14:textFill>
            <w14:solidFill>
              <w14:schemeClr w14:val="tx1"/>
            </w14:solidFill>
          </w14:textFill>
        </w:rPr>
      </w:pPr>
    </w:p>
    <w:p w14:paraId="3D69F4A7">
      <w:pPr>
        <w:pStyle w:val="16"/>
        <w:keepNext/>
        <w:keepLines w:val="0"/>
        <w:pageBreakBefore w:val="0"/>
        <w:widowControl w:val="0"/>
        <w:kinsoku/>
        <w:wordWrap/>
        <w:overflowPunct/>
        <w:topLinePunct w:val="0"/>
        <w:autoSpaceDE w:val="0"/>
        <w:autoSpaceDN w:val="0"/>
        <w:bidi w:val="0"/>
        <w:adjustRightInd w:val="0"/>
        <w:snapToGrid/>
        <w:spacing w:line="360" w:lineRule="auto"/>
        <w:ind w:firstLine="480" w:firstLineChars="200"/>
        <w:jc w:val="right"/>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北京大学外国语学院</w:t>
      </w:r>
    </w:p>
    <w:p w14:paraId="76DB1671">
      <w:pPr>
        <w:pStyle w:val="16"/>
        <w:wordWrap w:val="0"/>
        <w:spacing w:line="360" w:lineRule="auto"/>
        <w:ind w:firstLine="480" w:firstLineChars="200"/>
        <w:jc w:val="right"/>
        <w:rPr>
          <w:rFonts w:hAnsi="宋体"/>
          <w:color w:val="000000" w:themeColor="text1"/>
          <w:highlight w:val="none"/>
          <w14:textFill>
            <w14:solidFill>
              <w14:schemeClr w14:val="tx1"/>
            </w14:solidFill>
          </w14:textFill>
        </w:rPr>
        <w:sectPr>
          <w:headerReference r:id="rId3" w:type="default"/>
          <w:pgSz w:w="11906" w:h="16838"/>
          <w:pgMar w:top="1440" w:right="1800" w:bottom="1440" w:left="1800" w:header="851" w:footer="992" w:gutter="0"/>
          <w:cols w:space="720" w:num="1"/>
          <w:docGrid w:type="lines" w:linePitch="312" w:charSpace="0"/>
        </w:sectPr>
      </w:pPr>
      <w:r>
        <w:rPr>
          <w:rFonts w:hAnsi="宋体"/>
          <w:color w:val="000000" w:themeColor="text1"/>
          <w:highlight w:val="none"/>
          <w14:textFill>
            <w14:solidFill>
              <w14:schemeClr w14:val="tx1"/>
            </w14:solidFill>
          </w14:textFill>
        </w:rPr>
        <w:t>202</w:t>
      </w:r>
      <w:r>
        <w:rPr>
          <w:rFonts w:hint="eastAsia" w:hAnsi="宋体"/>
          <w:color w:val="000000" w:themeColor="text1"/>
          <w:highlight w:val="none"/>
          <w14:textFill>
            <w14:solidFill>
              <w14:schemeClr w14:val="tx1"/>
            </w14:solidFill>
          </w14:textFill>
        </w:rPr>
        <w:t>6年</w:t>
      </w:r>
      <w:r>
        <w:rPr>
          <w:rFonts w:hint="eastAsia" w:hAnsi="宋体"/>
          <w:color w:val="000000" w:themeColor="text1"/>
          <w:highlight w:val="none"/>
          <w:lang w:val="en-US" w:eastAsia="zh-CN"/>
          <w14:textFill>
            <w14:solidFill>
              <w14:schemeClr w14:val="tx1"/>
            </w14:solidFill>
          </w14:textFill>
        </w:rPr>
        <w:t>6</w:t>
      </w:r>
      <w:r>
        <w:rPr>
          <w:rFonts w:hint="eastAsia" w:hAnsi="宋体"/>
          <w:color w:val="000000" w:themeColor="text1"/>
          <w:highlight w:val="none"/>
          <w14:textFill>
            <w14:solidFill>
              <w14:schemeClr w14:val="tx1"/>
            </w14:solidFill>
          </w14:textFill>
        </w:rPr>
        <w:t>月</w:t>
      </w:r>
      <w:r>
        <w:rPr>
          <w:rFonts w:hint="eastAsia" w:hAnsi="宋体"/>
          <w:color w:val="000000" w:themeColor="text1"/>
          <w:highlight w:val="none"/>
          <w:lang w:val="en-US" w:eastAsia="zh-CN"/>
          <w14:textFill>
            <w14:solidFill>
              <w14:schemeClr w14:val="tx1"/>
            </w14:solidFill>
          </w14:textFill>
        </w:rPr>
        <w:t>25</w:t>
      </w:r>
      <w:r>
        <w:rPr>
          <w:rFonts w:hint="eastAsia" w:hAnsi="宋体"/>
          <w:color w:val="000000" w:themeColor="text1"/>
          <w:highlight w:val="none"/>
          <w14:textFill>
            <w14:solidFill>
              <w14:schemeClr w14:val="tx1"/>
            </w14:solidFill>
          </w14:textFill>
        </w:rPr>
        <w:t>日</w:t>
      </w:r>
    </w:p>
    <w:p w14:paraId="7033CCBC">
      <w:pPr>
        <w:pStyle w:val="16"/>
        <w:spacing w:line="360" w:lineRule="auto"/>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附录</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：学科竞赛目录</w:t>
      </w:r>
    </w:p>
    <w:p w14:paraId="739388D1">
      <w:pPr>
        <w:pStyle w:val="16"/>
        <w:spacing w:line="360" w:lineRule="auto"/>
        <w:rPr>
          <w:rFonts w:hint="eastAsia" w:hAnsi="宋体"/>
          <w:color w:val="000000" w:themeColor="text1"/>
          <w:highlight w:val="none"/>
          <w14:textFill>
            <w14:solidFill>
              <w14:schemeClr w14:val="tx1"/>
            </w14:solidFill>
          </w14:textFill>
        </w:rPr>
      </w:pPr>
    </w:p>
    <w:p w14:paraId="77705AA0">
      <w:pPr>
        <w:pStyle w:val="16"/>
        <w:spacing w:line="360" w:lineRule="auto"/>
        <w:ind w:firstLine="420" w:firstLineChars="200"/>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阿拉伯</w:t>
      </w:r>
      <w:r>
        <w:rPr>
          <w:rFonts w:hint="eastAsia" w:hAnsi="宋体"/>
          <w:color w:val="000000" w:themeColor="text1"/>
          <w:sz w:val="21"/>
          <w:szCs w:val="21"/>
          <w:highlight w:val="none"/>
          <w14:textFill>
            <w14:solidFill>
              <w14:schemeClr w14:val="tx1"/>
            </w14:solidFill>
          </w14:textFill>
        </w:rPr>
        <w:t>语</w:t>
      </w:r>
      <w:r>
        <w:rPr>
          <w:rFonts w:hint="eastAsia" w:hAnsi="宋体"/>
          <w:color w:val="000000" w:themeColor="text1"/>
          <w:sz w:val="21"/>
          <w:szCs w:val="21"/>
          <w:highlight w:val="none"/>
          <w:lang w:val="en-US" w:eastAsia="zh-CN"/>
          <w14:textFill>
            <w14:solidFill>
              <w14:schemeClr w14:val="tx1"/>
            </w14:solidFill>
          </w14:textFill>
        </w:rPr>
        <w:t>系</w:t>
      </w:r>
      <w:r>
        <w:rPr>
          <w:rFonts w:hint="eastAsia" w:hAnsi="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ABC88B3">
        <w:trPr>
          <w:cantSplit/>
          <w:jc w:val="center"/>
        </w:trPr>
        <w:tc>
          <w:tcPr>
            <w:tcW w:w="1565" w:type="dxa"/>
            <w:vAlign w:val="center"/>
          </w:tcPr>
          <w:p w14:paraId="36D4908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0E86B92B">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6DBD653C">
        <w:trPr>
          <w:cantSplit/>
          <w:jc w:val="center"/>
        </w:trPr>
        <w:tc>
          <w:tcPr>
            <w:tcW w:w="1565" w:type="dxa"/>
            <w:vAlign w:val="center"/>
          </w:tcPr>
          <w:p w14:paraId="363C40B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10254DC6">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全国阿拉伯语专业研究生论坛</w:t>
            </w:r>
          </w:p>
          <w:p w14:paraId="6BCD506B">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全国阿拉伯语专业本科生学术创新论坛</w:t>
            </w:r>
          </w:p>
          <w:p w14:paraId="29676192">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“外研社•国才杯”“理解当代中国”全国外语能力大赛</w:t>
            </w:r>
          </w:p>
          <w:p w14:paraId="768605B0">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全国高校阿拉伯语专业学生征文大赛</w:t>
            </w:r>
          </w:p>
          <w:p w14:paraId="447C679A">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全国大学生区域国别演讲比赛</w:t>
            </w:r>
          </w:p>
          <w:p w14:paraId="1DB6124B">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多语种全国口译大赛（阿拉伯语交替传译）</w:t>
            </w:r>
          </w:p>
          <w:p w14:paraId="1E9656AC">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全国多语种接力同传赛</w:t>
            </w:r>
          </w:p>
          <w:p w14:paraId="1D1F1A2D">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“理解当代中国”多语种国际翻译大赛（阿拉伯语组）</w:t>
            </w:r>
          </w:p>
          <w:p w14:paraId="752E78DB">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韩素音国际翻译大赛</w:t>
            </w:r>
          </w:p>
          <w:p w14:paraId="4429C0B7">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中阿在校大学生翻译比赛</w:t>
            </w:r>
          </w:p>
          <w:p w14:paraId="5135D4CD">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cs="宋体"/>
                <w:color w:val="000000" w:themeColor="text1"/>
                <w:sz w:val="21"/>
                <w:szCs w:val="21"/>
                <w:highlight w:val="none"/>
                <w:rtl w:val="0"/>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1"/>
                <w:szCs w:val="21"/>
                <w:highlight w:val="none"/>
                <w:shd w:val="clear" w:color="auto" w:fill="auto"/>
                <w:rtl w:val="0"/>
                <w:lang w:val="en-US" w:eastAsia="zh-CN" w:bidi="ar-SA"/>
                <w14:textFill>
                  <w14:solidFill>
                    <w14:schemeClr w14:val="tx1"/>
                  </w14:solidFill>
                </w14:textFill>
              </w:rPr>
              <w:t>that’s</w:t>
            </w:r>
            <w:r>
              <w:rPr>
                <w:rFonts w:hint="eastAsia" w:ascii="Times New Roman" w:hAnsi="Times New Roman" w:eastAsia="宋体" w:cs="宋体"/>
                <w:color w:val="000000" w:themeColor="text1"/>
                <w:sz w:val="21"/>
                <w:szCs w:val="21"/>
                <w:highlight w:val="none"/>
                <w14:textFill>
                  <w14:solidFill>
                    <w14:schemeClr w14:val="tx1"/>
                  </w14:solidFill>
                </w14:textFill>
              </w:rPr>
              <w:t>阿拉伯网络小说翻译大赛</w:t>
            </w:r>
          </w:p>
          <w:p w14:paraId="31A8495D">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中国高校阿拉伯文书法大赛</w:t>
            </w:r>
          </w:p>
          <w:p w14:paraId="70ED0EF3">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全国高校阿拉伯语专业学生创意短视频大赛</w:t>
            </w:r>
          </w:p>
          <w:p w14:paraId="29B8262E">
            <w:pPr>
              <w:pStyle w:val="16"/>
              <w:spacing w:line="360" w:lineRule="auto"/>
              <w:jc w:val="left"/>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全国高校阿拉伯语短剧大赛</w:t>
            </w:r>
          </w:p>
        </w:tc>
      </w:tr>
      <w:tr w14:paraId="055F5468">
        <w:trPr>
          <w:cantSplit/>
          <w:jc w:val="center"/>
        </w:trPr>
        <w:tc>
          <w:tcPr>
            <w:tcW w:w="1565" w:type="dxa"/>
            <w:vAlign w:val="center"/>
          </w:tcPr>
          <w:p w14:paraId="6E40791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6148762C">
            <w:pPr>
              <w:pStyle w:val="16"/>
              <w:spacing w:line="360" w:lineRule="auto"/>
              <w:jc w:val="left"/>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北京高校阿拉伯语配音大赛</w:t>
            </w:r>
          </w:p>
        </w:tc>
      </w:tr>
      <w:tr w14:paraId="174D1210">
        <w:trPr>
          <w:cantSplit/>
          <w:jc w:val="center"/>
        </w:trPr>
        <w:tc>
          <w:tcPr>
            <w:tcW w:w="1565" w:type="dxa"/>
            <w:vAlign w:val="center"/>
          </w:tcPr>
          <w:p w14:paraId="38EB0FB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77EBA2CC">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北京外国语大学“研学笃行”研究生高端学术论坛阿拉伯学院分论坛</w:t>
            </w:r>
          </w:p>
          <w:p w14:paraId="65FAAB38">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阿卜杜勒·阿齐兹国王公共图书馆北京大学分馆</w:t>
            </w:r>
          </w:p>
          <w:p w14:paraId="708DCA47">
            <w:pPr>
              <w:pStyle w:val="16"/>
              <w:spacing w:line="360" w:lineRule="auto"/>
              <w:jc w:val="left"/>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世界读书日书评比赛</w:t>
            </w:r>
          </w:p>
        </w:tc>
      </w:tr>
      <w:tr w14:paraId="698D54C4">
        <w:trPr>
          <w:cantSplit/>
          <w:jc w:val="center"/>
        </w:trPr>
        <w:tc>
          <w:tcPr>
            <w:tcW w:w="1565" w:type="dxa"/>
            <w:vAlign w:val="center"/>
          </w:tcPr>
          <w:p w14:paraId="47EB6DA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3B741B3C">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73D12AB0">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485AE34E">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朝韩语系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0C5E5D1">
        <w:trPr>
          <w:cantSplit/>
          <w:jc w:val="center"/>
        </w:trPr>
        <w:tc>
          <w:tcPr>
            <w:tcW w:w="1565" w:type="dxa"/>
            <w:vAlign w:val="center"/>
          </w:tcPr>
          <w:p w14:paraId="0E593F5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5B59EEE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92E5285">
        <w:trPr>
          <w:cantSplit/>
          <w:jc w:val="center"/>
        </w:trPr>
        <w:tc>
          <w:tcPr>
            <w:tcW w:w="1565" w:type="dxa"/>
            <w:vAlign w:val="center"/>
          </w:tcPr>
          <w:p w14:paraId="52B156F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5F898BE3">
            <w:pPr>
              <w:spacing w:line="360" w:lineRule="auto"/>
              <w:rPr>
                <w:rFonts w:hint="eastAsia" w:ascii="Times New Roman" w:hAnsi="Times New Roman" w:eastAsia="宋体" w:cs="宋体"/>
                <w:color w:val="000000" w:themeColor="text1"/>
                <w:sz w:val="21"/>
                <w:szCs w:val="21"/>
                <w:highlight w:val="none"/>
                <w:shd w:val="clear" w:color="auto" w:fill="auto"/>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国才杯</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理解当代中国</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全国大学生外语能力大赛</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 xml:space="preserve"> 国赛</w:t>
            </w:r>
          </w:p>
          <w:p w14:paraId="43ECFA02">
            <w:pPr>
              <w:bidi w:val="0"/>
              <w:spacing w:line="360" w:lineRule="auto"/>
              <w:ind w:left="0" w:leftChars="0" w:right="0" w:rightChars="0" w:firstLine="0" w:firstLineChars="0"/>
              <w:jc w:val="both"/>
              <w:rPr>
                <w:rFonts w:hint="eastAsia" w:ascii="Times New Roman" w:hAnsi="Times New Roman" w:eastAsia="宋体" w:cs="宋体"/>
                <w:color w:val="000000" w:themeColor="text1"/>
                <w:spacing w:val="0"/>
                <w:w w:val="100"/>
                <w:kern w:val="2"/>
                <w:position w:val="0"/>
                <w:sz w:val="21"/>
                <w:szCs w:val="21"/>
                <w:highlight w:val="none"/>
                <w:u w:val="none" w:color="000000"/>
                <w:shd w:val="clear" w:color="auto" w:fill="auto"/>
                <w:vertAlign w:val="baseline"/>
                <w:rtl w:val="0"/>
                <w:lang w:val="en-US"/>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CATTI</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杯全国翻译大赛 决赛</w:t>
            </w:r>
          </w:p>
        </w:tc>
      </w:tr>
      <w:tr w14:paraId="7367D104">
        <w:trPr>
          <w:cantSplit/>
          <w:jc w:val="center"/>
        </w:trPr>
        <w:tc>
          <w:tcPr>
            <w:tcW w:w="1565" w:type="dxa"/>
            <w:vAlign w:val="center"/>
          </w:tcPr>
          <w:p w14:paraId="0FA11FE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601C7C86">
            <w:pPr>
              <w:spacing w:line="360" w:lineRule="auto"/>
              <w:jc w:val="left"/>
              <w:rPr>
                <w:rFonts w:hint="eastAsia" w:ascii="Times New Roman" w:hAnsi="Times New Roman" w:eastAsia="宋体" w:cs="宋体"/>
                <w:color w:val="000000" w:themeColor="text1"/>
                <w:sz w:val="21"/>
                <w:szCs w:val="21"/>
                <w:highlight w:val="none"/>
                <w:shd w:val="clear" w:color="auto" w:fill="auto"/>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国才杯</w:t>
            </w:r>
            <w:r>
              <w:rPr>
                <w:rFonts w:hint="eastAsia" w:ascii="Times New Roman" w:hAnsi="Times New Roman" w:eastAsia="宋体" w:cs="宋体"/>
                <w:color w:val="000000" w:themeColor="text1"/>
                <w:sz w:val="21"/>
                <w:szCs w:val="21"/>
                <w:highlight w:val="none"/>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理解当代中国</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全国大学生外语能力大赛</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 xml:space="preserve"> 省赛</w:t>
            </w:r>
          </w:p>
          <w:p w14:paraId="02976223">
            <w:pPr>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CATTI</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杯全国翻译大赛 省赛</w:t>
            </w:r>
          </w:p>
          <w:p w14:paraId="1487278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永旺杯</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多语种</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全国口译大赛</w:t>
            </w:r>
          </w:p>
          <w:p w14:paraId="535EFEB7">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我眼中的韩国</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征文竞赛（韩国学中央研究院</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387496CA">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韩国文学读后感比赛（韩国文学翻译院</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3C2E2044">
            <w:pPr>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国际性</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韩语演讲大赛</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世界赛区</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韩国国际交流财团</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中韩友谊协会、</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The Korea Times</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等主办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374ECBBE">
            <w:pPr>
              <w:bidi w:val="0"/>
              <w:spacing w:line="360" w:lineRule="auto"/>
              <w:ind w:left="0" w:leftChars="0" w:right="0" w:rightChars="0" w:firstLine="0" w:firstLineChars="0"/>
              <w:jc w:val="left"/>
              <w:rPr>
                <w:rFonts w:hint="eastAsia" w:ascii="Times New Roman" w:hAnsi="Times New Roman" w:eastAsia="宋体" w:cs="宋体"/>
                <w:color w:val="000000" w:themeColor="text1"/>
                <w:spacing w:val="0"/>
                <w:w w:val="100"/>
                <w:kern w:val="2"/>
                <w:position w:val="0"/>
                <w:sz w:val="21"/>
                <w:szCs w:val="21"/>
                <w:highlight w:val="none"/>
                <w:u w:val="none" w:color="000000"/>
                <w:shd w:val="clear" w:color="auto" w:fill="auto"/>
                <w:vertAlign w:val="baseline"/>
                <w:rtl w:val="0"/>
                <w:lang w:val="en-US"/>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教育部</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组织</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的其他语种相关</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 xml:space="preserve">竞赛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国赛</w:t>
            </w:r>
          </w:p>
        </w:tc>
      </w:tr>
      <w:tr w14:paraId="2004900C">
        <w:trPr>
          <w:cantSplit/>
          <w:jc w:val="center"/>
        </w:trPr>
        <w:tc>
          <w:tcPr>
            <w:tcW w:w="1565" w:type="dxa"/>
            <w:vAlign w:val="center"/>
          </w:tcPr>
          <w:p w14:paraId="6DA1DFE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47651BD7">
            <w:pPr>
              <w:spacing w:line="360" w:lineRule="auto"/>
              <w:rPr>
                <w:rFonts w:hint="eastAsia" w:ascii="Times New Roman" w:hAnsi="Times New Roman" w:eastAsia="宋体" w:cs="宋体"/>
                <w:color w:val="000000" w:themeColor="text1"/>
                <w:sz w:val="21"/>
                <w:szCs w:val="21"/>
                <w:highlight w:val="none"/>
                <w:shd w:val="clear" w:color="auto" w:fill="auto"/>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亚非之声</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全国高校亚非语种配音大赛</w:t>
            </w:r>
          </w:p>
          <w:p w14:paraId="2520F7F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成均馆写作大赛 世界赛区</w:t>
            </w:r>
          </w:p>
          <w:p w14:paraId="49D82EC5">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国际性</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韩语演讲大赛</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中国赛</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区</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韩国国际交流财团</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中韩友谊协会、</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The Korea Times</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等</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6562BA61">
            <w:pPr>
              <w:numPr>
                <w:ilvl w:val="0"/>
                <w:numId w:val="0"/>
              </w:numPr>
              <w:bidi w:val="0"/>
              <w:spacing w:line="360" w:lineRule="auto"/>
              <w:ind w:leftChars="0" w:right="0" w:rightChars="0"/>
              <w:jc w:val="both"/>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韩中交流创意大赛（韩国贸易</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协会</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北京支部</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11AD21FF">
            <w:pPr>
              <w:pStyle w:val="16"/>
              <w:bidi w:val="0"/>
              <w:spacing w:line="360" w:lineRule="auto"/>
              <w:ind w:left="0" w:leftChars="0" w:right="0" w:rightChars="0" w:firstLine="0" w:firstLineChars="0"/>
              <w:jc w:val="both"/>
              <w:rPr>
                <w:rFonts w:hint="eastAsia" w:ascii="Times New Roman" w:hAnsi="Times New Roman" w:eastAsia="宋体" w:cs="宋体"/>
                <w:color w:val="000000" w:themeColor="text1"/>
                <w:sz w:val="21"/>
                <w:szCs w:val="21"/>
                <w:highlight w:val="none"/>
                <w:rtl w:val="0"/>
                <w:lang w:val="en-US" w:eastAsia="zh-CN" w:bidi="ar-SA"/>
                <w14:textFill>
                  <w14:solidFill>
                    <w14:schemeClr w14:val="tx1"/>
                  </w14:solidFill>
                </w14:textFill>
              </w:rPr>
            </w:pPr>
            <w:r>
              <w:rPr>
                <w:rFonts w:hint="eastAsia" w:ascii="Times New Roman" w:hAnsi="Times New Roman" w:eastAsia="宋体" w:cs="宋体"/>
                <w:strike w:val="0"/>
                <w:dstrike w:val="0"/>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strike w:val="0"/>
                <w:dstrike w:val="0"/>
                <w:color w:val="000000" w:themeColor="text1"/>
                <w:sz w:val="21"/>
                <w:szCs w:val="21"/>
                <w:highlight w:val="none"/>
                <w:rtl w:val="0"/>
                <w:lang w:val="zh-CN" w:eastAsia="zh-CN"/>
                <w14:textFill>
                  <w14:solidFill>
                    <w14:schemeClr w14:val="tx1"/>
                  </w14:solidFill>
                </w14:textFill>
              </w:rPr>
              <w:t>其他校级以上单位主办</w:t>
            </w:r>
            <w:r>
              <w:rPr>
                <w:rFonts w:hint="eastAsia" w:ascii="Times New Roman" w:hAnsi="Times New Roman" w:eastAsia="宋体" w:cs="宋体"/>
                <w:strike w:val="0"/>
                <w:dstrike w:val="0"/>
                <w:color w:val="000000" w:themeColor="text1"/>
                <w:sz w:val="21"/>
                <w:szCs w:val="21"/>
                <w:highlight w:val="none"/>
                <w:rtl w:val="0"/>
                <w:lang w:val="en-US" w:eastAsia="zh-CN"/>
                <w14:textFill>
                  <w14:solidFill>
                    <w14:schemeClr w14:val="tx1"/>
                  </w14:solidFill>
                </w14:textFill>
              </w:rPr>
              <w:t>的</w:t>
            </w:r>
            <w:r>
              <w:rPr>
                <w:rFonts w:hint="eastAsia" w:ascii="Times New Roman" w:hAnsi="Times New Roman" w:eastAsia="宋体" w:cs="宋体"/>
                <w:strike w:val="0"/>
                <w:dstrike w:val="0"/>
                <w:color w:val="000000" w:themeColor="text1"/>
                <w:sz w:val="21"/>
                <w:szCs w:val="21"/>
                <w:highlight w:val="none"/>
                <w:shd w:val="clear" w:color="auto" w:fill="auto"/>
                <w:rtl w:val="0"/>
                <w:lang w:val="zh-TW" w:eastAsia="zh-TW"/>
                <w14:textFill>
                  <w14:solidFill>
                    <w14:schemeClr w14:val="tx1"/>
                  </w14:solidFill>
                </w14:textFill>
              </w:rPr>
              <w:t>其他语种相关</w:t>
            </w:r>
            <w:r>
              <w:rPr>
                <w:rFonts w:hint="eastAsia" w:ascii="Times New Roman" w:hAnsi="Times New Roman" w:eastAsia="宋体" w:cs="宋体"/>
                <w:strike w:val="0"/>
                <w:dstrike w:val="0"/>
                <w:color w:val="000000" w:themeColor="text1"/>
                <w:sz w:val="21"/>
                <w:szCs w:val="21"/>
                <w:highlight w:val="none"/>
                <w:rtl w:val="0"/>
                <w:lang w:val="zh-CN" w:eastAsia="zh-CN"/>
                <w14:textFill>
                  <w14:solidFill>
                    <w14:schemeClr w14:val="tx1"/>
                  </w14:solidFill>
                </w14:textFill>
              </w:rPr>
              <w:t>竞赛</w:t>
            </w:r>
          </w:p>
        </w:tc>
      </w:tr>
      <w:tr w14:paraId="1A46AAA7">
        <w:trPr>
          <w:cantSplit/>
          <w:jc w:val="center"/>
        </w:trPr>
        <w:tc>
          <w:tcPr>
            <w:tcW w:w="1565" w:type="dxa"/>
            <w:vAlign w:val="center"/>
          </w:tcPr>
          <w:p w14:paraId="248F428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shd w:val="clear" w:color="auto" w:fill="auto"/>
            <w:vAlign w:val="center"/>
          </w:tcPr>
          <w:p w14:paraId="6E42B450">
            <w:pPr>
              <w:numPr>
                <w:ilvl w:val="0"/>
                <w:numId w:val="3"/>
              </w:numPr>
              <w:spacing w:line="360" w:lineRule="auto"/>
              <w:rPr>
                <w:rFonts w:hint="eastAsia" w:ascii="Times New Roman" w:hAnsi="Times New Roman" w:eastAsia="宋体" w:cs="宋体"/>
                <w:color w:val="000000" w:themeColor="text1"/>
                <w:sz w:val="21"/>
                <w:szCs w:val="21"/>
                <w:highlight w:val="none"/>
                <w:lang w:val="ko-KR" w:eastAsia="ko-KR"/>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ko-KR" w:eastAsia="ko-KR"/>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成均馆写作大赛 中国赛</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区</w:t>
            </w:r>
          </w:p>
          <w:p w14:paraId="4FF52EB5">
            <w:pPr>
              <w:numPr>
                <w:ilvl w:val="0"/>
                <w:numId w:val="3"/>
              </w:numPr>
              <w:spacing w:line="360" w:lineRule="auto"/>
              <w:rPr>
                <w:rFonts w:hint="eastAsia" w:ascii="Times New Roman" w:hAnsi="Times New Roman" w:eastAsia="宋体" w:cs="宋体"/>
                <w:color w:val="000000" w:themeColor="text1"/>
                <w:sz w:val="21"/>
                <w:szCs w:val="21"/>
                <w:highlight w:val="none"/>
                <w:lang w:val="ko-KR" w:eastAsia="ko-KR"/>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ko-KR" w:eastAsia="ko-KR"/>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中国韩国（朝鲜）语教学研究学会研究生论坛</w:t>
            </w:r>
          </w:p>
          <w:p w14:paraId="2012159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WWC</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世界名牌大学韩国学研讨会</w:t>
            </w:r>
          </w:p>
          <w:p w14:paraId="72B2B870">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海峡两岸研究生论坛</w:t>
            </w:r>
          </w:p>
          <w:p w14:paraId="6B3C2CD5">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人文韩国学研究生论坛</w:t>
            </w:r>
          </w:p>
          <w:p w14:paraId="764D3B25">
            <w:pPr>
              <w:pStyle w:val="16"/>
              <w:bidi w:val="0"/>
              <w:spacing w:line="360" w:lineRule="auto"/>
              <w:ind w:left="0" w:leftChars="0" w:right="0" w:rightChars="0" w:firstLine="0" w:firstLineChars="0"/>
              <w:jc w:val="both"/>
              <w:rPr>
                <w:rFonts w:hint="eastAsia" w:ascii="Times New Roman" w:hAnsi="Times New Roman" w:eastAsia="宋体" w:cs="宋体"/>
                <w:color w:val="000000" w:themeColor="text1"/>
                <w:sz w:val="21"/>
                <w:szCs w:val="21"/>
                <w:highlight w:val="none"/>
                <w:rtl w:val="0"/>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其他语种相关</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竞赛</w:t>
            </w:r>
          </w:p>
        </w:tc>
      </w:tr>
    </w:tbl>
    <w:p w14:paraId="323A291D">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B3DF49A">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德语系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CF5943C">
        <w:trPr>
          <w:cantSplit/>
          <w:jc w:val="center"/>
        </w:trPr>
        <w:tc>
          <w:tcPr>
            <w:tcW w:w="1565" w:type="dxa"/>
            <w:vAlign w:val="center"/>
          </w:tcPr>
          <w:p w14:paraId="4A0879F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69A77941">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8CE48D9">
        <w:trPr>
          <w:cantSplit/>
          <w:jc w:val="center"/>
        </w:trPr>
        <w:tc>
          <w:tcPr>
            <w:tcW w:w="1565" w:type="dxa"/>
            <w:vAlign w:val="center"/>
          </w:tcPr>
          <w:p w14:paraId="7898B7A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1C165FC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全国高校德语专业大学生辩论赛</w:t>
            </w:r>
          </w:p>
          <w:p w14:paraId="0408A0D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w:t>
            </w:r>
          </w:p>
          <w:p w14:paraId="432DE6F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“外研社·国才杯”系列赛事</w:t>
            </w:r>
          </w:p>
          <w:p w14:paraId="05800B1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全国口译大赛(“永旺杯”多语种全国口译大赛)</w:t>
            </w:r>
          </w:p>
          <w:p w14:paraId="362EA51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1E3CABC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CATTI杯全国翻译大赛</w:t>
            </w:r>
          </w:p>
        </w:tc>
      </w:tr>
      <w:tr w14:paraId="65A89E91">
        <w:trPr>
          <w:cantSplit/>
          <w:jc w:val="center"/>
        </w:trPr>
        <w:tc>
          <w:tcPr>
            <w:tcW w:w="1565" w:type="dxa"/>
            <w:vAlign w:val="center"/>
          </w:tcPr>
          <w:p w14:paraId="70E7B6F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1FD69520">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18B9DA2B">
        <w:trPr>
          <w:cantSplit/>
          <w:jc w:val="center"/>
        </w:trPr>
        <w:tc>
          <w:tcPr>
            <w:tcW w:w="1565" w:type="dxa"/>
            <w:vAlign w:val="center"/>
          </w:tcPr>
          <w:p w14:paraId="2E7E351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779E03C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全国高校德语专业本科生学术创新大赛</w:t>
            </w:r>
          </w:p>
          <w:p w14:paraId="57CB92D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全国高校德语学科研究生学术创新论坛</w:t>
            </w:r>
          </w:p>
          <w:p w14:paraId="186AD7F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全国高校本科生德语配音大赛</w:t>
            </w:r>
          </w:p>
          <w:p w14:paraId="1161EA4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“德语之星”全国高校德语演讲比赛</w:t>
            </w:r>
          </w:p>
          <w:p w14:paraId="47E0C32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全国高校德语微剧大赛</w:t>
            </w:r>
          </w:p>
        </w:tc>
      </w:tr>
      <w:tr w14:paraId="09CD294C">
        <w:trPr>
          <w:cantSplit/>
          <w:jc w:val="center"/>
        </w:trPr>
        <w:tc>
          <w:tcPr>
            <w:tcW w:w="1565" w:type="dxa"/>
            <w:vAlign w:val="center"/>
          </w:tcPr>
          <w:p w14:paraId="45F8F1C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07CC77C6">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3A6F7158">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EF78C25">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东南亚系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408716F">
        <w:trPr>
          <w:cantSplit/>
          <w:jc w:val="center"/>
        </w:trPr>
        <w:tc>
          <w:tcPr>
            <w:tcW w:w="1565" w:type="dxa"/>
            <w:vAlign w:val="center"/>
          </w:tcPr>
          <w:p w14:paraId="59648B7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3264655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654A8300">
        <w:trPr>
          <w:cantSplit/>
          <w:jc w:val="center"/>
        </w:trPr>
        <w:tc>
          <w:tcPr>
            <w:tcW w:w="1565" w:type="dxa"/>
            <w:vAlign w:val="center"/>
          </w:tcPr>
          <w:p w14:paraId="3D9F18B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5B28C204">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49C6C12A">
        <w:trPr>
          <w:cantSplit/>
          <w:jc w:val="center"/>
        </w:trPr>
        <w:tc>
          <w:tcPr>
            <w:tcW w:w="1565" w:type="dxa"/>
            <w:vAlign w:val="center"/>
          </w:tcPr>
          <w:p w14:paraId="409D322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1ED8CEE0">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69D4EFDB">
        <w:trPr>
          <w:cantSplit/>
          <w:jc w:val="center"/>
        </w:trPr>
        <w:tc>
          <w:tcPr>
            <w:tcW w:w="1565" w:type="dxa"/>
            <w:vAlign w:val="center"/>
          </w:tcPr>
          <w:p w14:paraId="3FA87DF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478E292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东方文学全国研究生暑期学校论文奖</w:t>
            </w:r>
          </w:p>
        </w:tc>
      </w:tr>
      <w:tr w14:paraId="51A04641">
        <w:trPr>
          <w:cantSplit/>
          <w:jc w:val="center"/>
        </w:trPr>
        <w:tc>
          <w:tcPr>
            <w:tcW w:w="1565" w:type="dxa"/>
            <w:vAlign w:val="center"/>
          </w:tcPr>
          <w:p w14:paraId="5E50C30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02EBB51E">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2933BF1B">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p>
    <w:p w14:paraId="0BD8588E">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俄</w:t>
      </w:r>
      <w:r>
        <w:rPr>
          <w:rFonts w:hint="eastAsia" w:ascii="Times New Roman" w:hAnsi="Times New Roman" w:eastAsia="宋体" w:cs="宋体"/>
          <w:color w:val="000000" w:themeColor="text1"/>
          <w:sz w:val="21"/>
          <w:szCs w:val="21"/>
          <w:highlight w:val="none"/>
          <w14:textFill>
            <w14:solidFill>
              <w14:schemeClr w14:val="tx1"/>
            </w14:solidFill>
          </w14:textFill>
        </w:rPr>
        <w:t>语</w:t>
      </w: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A6B255F">
        <w:trPr>
          <w:cantSplit/>
          <w:jc w:val="center"/>
        </w:trPr>
        <w:tc>
          <w:tcPr>
            <w:tcW w:w="1565" w:type="dxa"/>
            <w:vAlign w:val="center"/>
          </w:tcPr>
          <w:p w14:paraId="5AF85DE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0303AC7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3A9AC383">
        <w:trPr>
          <w:cantSplit/>
          <w:jc w:val="center"/>
        </w:trPr>
        <w:tc>
          <w:tcPr>
            <w:tcW w:w="1565" w:type="dxa"/>
            <w:vAlign w:val="center"/>
          </w:tcPr>
          <w:p w14:paraId="5960B93B">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7AD712F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全国俄语大赛</w:t>
            </w:r>
          </w:p>
          <w:p w14:paraId="7F7C7C6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“外研社·国才杯”“理解当代中国”全国大学生外语能力大赛（含俄语）</w:t>
            </w:r>
          </w:p>
          <w:p w14:paraId="5C69BE4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tc>
      </w:tr>
      <w:tr w14:paraId="6FD97859">
        <w:trPr>
          <w:cantSplit/>
          <w:jc w:val="center"/>
        </w:trPr>
        <w:tc>
          <w:tcPr>
            <w:tcW w:w="1565" w:type="dxa"/>
            <w:vAlign w:val="center"/>
          </w:tcPr>
          <w:p w14:paraId="6B1C001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1191CCD4">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京津冀高校俄语大赛</w:t>
            </w:r>
          </w:p>
          <w:p w14:paraId="7896D61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俄罗斯“俄语无国界”竞赛（哈尔滨之春）</w:t>
            </w:r>
          </w:p>
        </w:tc>
      </w:tr>
      <w:tr w14:paraId="64115B3D">
        <w:trPr>
          <w:cantSplit/>
          <w:jc w:val="center"/>
        </w:trPr>
        <w:tc>
          <w:tcPr>
            <w:tcW w:w="1565" w:type="dxa"/>
            <w:vAlign w:val="center"/>
          </w:tcPr>
          <w:p w14:paraId="2A3E305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371671C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全国俄语语言文学博士生学术会议</w:t>
            </w:r>
          </w:p>
          <w:p w14:paraId="03ED29D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北京高校俄语配音大赛</w:t>
            </w:r>
          </w:p>
        </w:tc>
      </w:tr>
      <w:tr w14:paraId="41241587">
        <w:trPr>
          <w:cantSplit/>
          <w:jc w:val="center"/>
        </w:trPr>
        <w:tc>
          <w:tcPr>
            <w:tcW w:w="1565" w:type="dxa"/>
            <w:vAlign w:val="center"/>
          </w:tcPr>
          <w:p w14:paraId="224A605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040C91B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俄罗斯国情知识竞赛</w:t>
            </w:r>
          </w:p>
        </w:tc>
      </w:tr>
    </w:tbl>
    <w:p w14:paraId="29535C14">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781FBB78">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法语系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6AC0A358">
        <w:trPr>
          <w:cantSplit/>
          <w:jc w:val="center"/>
        </w:trPr>
        <w:tc>
          <w:tcPr>
            <w:tcW w:w="1565" w:type="dxa"/>
            <w:vAlign w:val="center"/>
          </w:tcPr>
          <w:p w14:paraId="522536B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091AABD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08E4E898">
        <w:trPr>
          <w:cantSplit/>
          <w:jc w:val="center"/>
        </w:trPr>
        <w:tc>
          <w:tcPr>
            <w:tcW w:w="1565" w:type="dxa"/>
            <w:vAlign w:val="center"/>
          </w:tcPr>
          <w:p w14:paraId="3A15D83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68937B56">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法语系认定的国家级法语类学科竞赛</w:t>
            </w:r>
          </w:p>
        </w:tc>
      </w:tr>
      <w:tr w14:paraId="28680972">
        <w:trPr>
          <w:cantSplit/>
          <w:jc w:val="center"/>
        </w:trPr>
        <w:tc>
          <w:tcPr>
            <w:tcW w:w="1565" w:type="dxa"/>
            <w:vAlign w:val="center"/>
          </w:tcPr>
          <w:p w14:paraId="0E7E4CC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42E2DCE4">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2A7BEBB1">
        <w:trPr>
          <w:cantSplit/>
          <w:jc w:val="center"/>
        </w:trPr>
        <w:tc>
          <w:tcPr>
            <w:tcW w:w="1565" w:type="dxa"/>
            <w:vAlign w:val="center"/>
          </w:tcPr>
          <w:p w14:paraId="49C4908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37EB2D20">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4B93D296">
        <w:trPr>
          <w:cantSplit/>
          <w:jc w:val="center"/>
        </w:trPr>
        <w:tc>
          <w:tcPr>
            <w:tcW w:w="1565" w:type="dxa"/>
            <w:vAlign w:val="center"/>
          </w:tcPr>
          <w:p w14:paraId="588AC97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540982F3">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63C18BA1">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444402B9">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南亚系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10CD7C86">
        <w:trPr>
          <w:cantSplit/>
          <w:jc w:val="center"/>
        </w:trPr>
        <w:tc>
          <w:tcPr>
            <w:tcW w:w="1565" w:type="dxa"/>
            <w:vAlign w:val="center"/>
          </w:tcPr>
          <w:p w14:paraId="734F80A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4A0DFBF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7721578">
        <w:trPr>
          <w:cantSplit/>
          <w:jc w:val="center"/>
        </w:trPr>
        <w:tc>
          <w:tcPr>
            <w:tcW w:w="1565" w:type="dxa"/>
            <w:vAlign w:val="center"/>
          </w:tcPr>
          <w:p w14:paraId="5C8077E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268A8FF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全国印地语口语大赛</w:t>
            </w:r>
          </w:p>
          <w:p w14:paraId="7D3A990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全国高校乌尔都语口语风采大赛</w:t>
            </w:r>
          </w:p>
        </w:tc>
      </w:tr>
      <w:tr w14:paraId="3D76612B">
        <w:trPr>
          <w:cantSplit/>
          <w:jc w:val="center"/>
        </w:trPr>
        <w:tc>
          <w:tcPr>
            <w:tcW w:w="1565" w:type="dxa"/>
            <w:vAlign w:val="center"/>
          </w:tcPr>
          <w:p w14:paraId="4ADDD0E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034B2417">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3CD9A03C">
        <w:trPr>
          <w:cantSplit/>
          <w:jc w:val="center"/>
        </w:trPr>
        <w:tc>
          <w:tcPr>
            <w:tcW w:w="1565" w:type="dxa"/>
            <w:vAlign w:val="center"/>
          </w:tcPr>
          <w:p w14:paraId="6ABC326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112368CA">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4B143749">
        <w:trPr>
          <w:cantSplit/>
          <w:jc w:val="center"/>
        </w:trPr>
        <w:tc>
          <w:tcPr>
            <w:tcW w:w="1565" w:type="dxa"/>
            <w:vAlign w:val="center"/>
          </w:tcPr>
          <w:p w14:paraId="643BF92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shd w:val="clear" w:color="auto" w:fill="auto"/>
            <w:vAlign w:val="center"/>
          </w:tcPr>
          <w:p w14:paraId="129B017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南亚学系研究生论坛</w:t>
            </w:r>
          </w:p>
        </w:tc>
      </w:tr>
    </w:tbl>
    <w:p w14:paraId="471462F0">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4CE0261">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欧语系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C1E406B">
        <w:trPr>
          <w:cantSplit/>
          <w:jc w:val="center"/>
        </w:trPr>
        <w:tc>
          <w:tcPr>
            <w:tcW w:w="1565" w:type="dxa"/>
            <w:vAlign w:val="center"/>
          </w:tcPr>
          <w:p w14:paraId="217E051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5F90DD2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324E0093">
        <w:trPr>
          <w:cantSplit/>
          <w:jc w:val="center"/>
        </w:trPr>
        <w:tc>
          <w:tcPr>
            <w:tcW w:w="1565" w:type="dxa"/>
            <w:vAlign w:val="center"/>
          </w:tcPr>
          <w:p w14:paraId="39BE527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4E1C763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“外研社·国才杯”“理解当代中国”全国大学生外语能力大赛国赛</w:t>
            </w:r>
          </w:p>
          <w:p w14:paraId="17DFCEC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“云山杯”国际远程口译大赛</w:t>
            </w:r>
          </w:p>
          <w:p w14:paraId="2CFB97CE">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48D4157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意大利语桥Italia Ciao比赛</w:t>
            </w:r>
          </w:p>
          <w:p w14:paraId="3582DFD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其他欧语系（葡、意语）认定的国家级学科赛事</w:t>
            </w:r>
          </w:p>
        </w:tc>
      </w:tr>
      <w:tr w14:paraId="28FCDB23">
        <w:trPr>
          <w:cantSplit/>
          <w:jc w:val="center"/>
        </w:trPr>
        <w:tc>
          <w:tcPr>
            <w:tcW w:w="1565" w:type="dxa"/>
            <w:vAlign w:val="center"/>
          </w:tcPr>
          <w:p w14:paraId="4A5ED8A1">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3555A0A5">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“外研社·国才杯”“理解当代中国”全国大学生外语能力大赛省赛（但不与国赛重复加分）</w:t>
            </w:r>
          </w:p>
        </w:tc>
      </w:tr>
      <w:tr w14:paraId="70E3C1F5">
        <w:trPr>
          <w:cantSplit/>
          <w:jc w:val="center"/>
        </w:trPr>
        <w:tc>
          <w:tcPr>
            <w:tcW w:w="1565" w:type="dxa"/>
            <w:vAlign w:val="center"/>
          </w:tcPr>
          <w:p w14:paraId="0D69D9A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23D2CC48">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3F0AF655">
        <w:trPr>
          <w:cantSplit/>
          <w:jc w:val="center"/>
        </w:trPr>
        <w:tc>
          <w:tcPr>
            <w:tcW w:w="1565" w:type="dxa"/>
            <w:vAlign w:val="center"/>
          </w:tcPr>
          <w:p w14:paraId="54E4A9A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334B99B2">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37BE2803">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2DB4E893">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日语系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6DF2DF41">
        <w:trPr>
          <w:cantSplit/>
          <w:jc w:val="center"/>
        </w:trPr>
        <w:tc>
          <w:tcPr>
            <w:tcW w:w="1565" w:type="dxa"/>
            <w:vAlign w:val="center"/>
          </w:tcPr>
          <w:p w14:paraId="7F5B322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21AAC8D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1B12108B">
        <w:trPr>
          <w:cantSplit/>
          <w:jc w:val="center"/>
        </w:trPr>
        <w:tc>
          <w:tcPr>
            <w:tcW w:w="1565" w:type="dxa"/>
            <w:vAlign w:val="center"/>
          </w:tcPr>
          <w:p w14:paraId="0E0AE48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41768D5E">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“永旺1%俱乐部杯”全国日语演讲比赛</w:t>
            </w:r>
          </w:p>
          <w:p w14:paraId="2FE5E964">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卡西欧杯中国日语专业本科生·研究生演讲辩论大赛</w:t>
            </w:r>
          </w:p>
          <w:p w14:paraId="0C8DB66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笹川杯日本研究论文大赛</w:t>
            </w:r>
          </w:p>
          <w:p w14:paraId="6FFD18D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永旺杯多语种全国口译大赛</w:t>
            </w:r>
          </w:p>
          <w:p w14:paraId="358F867D">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w:t>
            </w:r>
          </w:p>
          <w:p w14:paraId="070FD9D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21B52A9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卡西欧杯翻译竞赛</w:t>
            </w:r>
          </w:p>
          <w:p w14:paraId="480C77D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笹川杯全国高校日本知识大赛 </w:t>
            </w:r>
          </w:p>
        </w:tc>
      </w:tr>
      <w:tr w14:paraId="4930F7A8">
        <w:trPr>
          <w:cantSplit/>
          <w:jc w:val="center"/>
        </w:trPr>
        <w:tc>
          <w:tcPr>
            <w:tcW w:w="1565" w:type="dxa"/>
            <w:vAlign w:val="center"/>
          </w:tcPr>
          <w:p w14:paraId="68BB0AD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43DB708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多语种接力同传大赛</w:t>
            </w:r>
          </w:p>
          <w:p w14:paraId="0756BA6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“中译国青杯”国际组织文件翻译大赛</w:t>
            </w:r>
          </w:p>
          <w:p w14:paraId="082FC6A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“立思杯”全国汉译日笔译大赛</w:t>
            </w:r>
          </w:p>
          <w:p w14:paraId="38793A2F">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宫本赏（学生悬赏论文）</w:t>
            </w:r>
          </w:p>
          <w:p w14:paraId="2078730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全国日语风采短视频创作大赛</w:t>
            </w:r>
          </w:p>
          <w:p w14:paraId="62DA4AD4">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“云山杯”国际远程口译大赛</w:t>
            </w:r>
          </w:p>
        </w:tc>
      </w:tr>
      <w:tr w14:paraId="1B39E088">
        <w:trPr>
          <w:cantSplit/>
          <w:jc w:val="center"/>
        </w:trPr>
        <w:tc>
          <w:tcPr>
            <w:tcW w:w="1565" w:type="dxa"/>
            <w:vAlign w:val="center"/>
          </w:tcPr>
          <w:p w14:paraId="08BA24D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4974F1E7">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41CDEA27">
        <w:trPr>
          <w:cantSplit/>
          <w:jc w:val="center"/>
        </w:trPr>
        <w:tc>
          <w:tcPr>
            <w:tcW w:w="1565" w:type="dxa"/>
            <w:vAlign w:val="center"/>
          </w:tcPr>
          <w:p w14:paraId="3BC4E43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2513E882">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6CC431D5">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32333A6">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西班牙语系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903EC7A">
        <w:trPr>
          <w:cantSplit/>
          <w:jc w:val="center"/>
        </w:trPr>
        <w:tc>
          <w:tcPr>
            <w:tcW w:w="1565" w:type="dxa"/>
            <w:vAlign w:val="center"/>
          </w:tcPr>
          <w:p w14:paraId="6D18DA5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5C07191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251BB9EA">
        <w:trPr>
          <w:cantSplit/>
          <w:jc w:val="center"/>
        </w:trPr>
        <w:tc>
          <w:tcPr>
            <w:tcW w:w="1565" w:type="dxa"/>
            <w:vAlign w:val="center"/>
          </w:tcPr>
          <w:p w14:paraId="525469B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4A30C42F">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“求是杯”国际诗歌创作与翻译大赛</w:t>
            </w:r>
          </w:p>
          <w:p w14:paraId="3D17E42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7789498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外研社·国才杯全国大学生外语能力大赛</w:t>
            </w:r>
          </w:p>
        </w:tc>
      </w:tr>
      <w:tr w14:paraId="4B029A00">
        <w:trPr>
          <w:cantSplit/>
          <w:jc w:val="center"/>
        </w:trPr>
        <w:tc>
          <w:tcPr>
            <w:tcW w:w="1565" w:type="dxa"/>
            <w:vAlign w:val="center"/>
          </w:tcPr>
          <w:p w14:paraId="2CFDFADB">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7091351E">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“上译”杯翻译竞赛</w:t>
            </w:r>
          </w:p>
        </w:tc>
      </w:tr>
      <w:tr w14:paraId="09861D2C">
        <w:trPr>
          <w:cantSplit/>
          <w:jc w:val="center"/>
        </w:trPr>
        <w:tc>
          <w:tcPr>
            <w:tcW w:w="1565" w:type="dxa"/>
            <w:vAlign w:val="center"/>
          </w:tcPr>
          <w:p w14:paraId="3365491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3B33272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浙江大学“全国高校西班牙语专业本科生学术论坛”</w:t>
            </w:r>
          </w:p>
          <w:p w14:paraId="23631838">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中国人民大学“词与世界·Word &amp; World”全国本科生学术论</w:t>
            </w:r>
          </w:p>
          <w:p w14:paraId="5664FB0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北京外国语大学外国语言文学学科研究生高端学术论坛</w:t>
            </w:r>
          </w:p>
          <w:p w14:paraId="04E5906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复旦大学外国语言文学学院学术创新大赛</w:t>
            </w:r>
          </w:p>
          <w:p w14:paraId="37F5287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北京外国语大学本科生学术创新论坛</w:t>
            </w:r>
          </w:p>
          <w:p w14:paraId="0385397D">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北京外国语大学全国高校西班牙语配音大赛</w:t>
            </w:r>
          </w:p>
          <w:p w14:paraId="55E40D1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“云山杯”国际远程口译大赛</w:t>
            </w:r>
          </w:p>
          <w:p w14:paraId="2915C18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外交学院国际关系研究所本科生国际问题论坛</w:t>
            </w:r>
          </w:p>
          <w:p w14:paraId="19D3A718">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吉林外国语大学“华桥杯”全国大学生西班牙语国家和区域研究论坛</w:t>
            </w:r>
          </w:p>
        </w:tc>
      </w:tr>
      <w:tr w14:paraId="167FC42F">
        <w:trPr>
          <w:cantSplit/>
          <w:jc w:val="center"/>
        </w:trPr>
        <w:tc>
          <w:tcPr>
            <w:tcW w:w="1565" w:type="dxa"/>
            <w:vAlign w:val="center"/>
          </w:tcPr>
          <w:p w14:paraId="4DD60A7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30DE15B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56DA663B">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p>
    <w:p w14:paraId="5E9E8954">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西亚系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280E79D4">
        <w:trPr>
          <w:cantSplit/>
          <w:jc w:val="center"/>
        </w:trPr>
        <w:tc>
          <w:tcPr>
            <w:tcW w:w="1565" w:type="dxa"/>
            <w:vAlign w:val="center"/>
          </w:tcPr>
          <w:p w14:paraId="314FFE5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7C57F39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68D14E32">
        <w:trPr>
          <w:cantSplit/>
          <w:jc w:val="center"/>
        </w:trPr>
        <w:tc>
          <w:tcPr>
            <w:tcW w:w="1565" w:type="dxa"/>
            <w:vAlign w:val="center"/>
          </w:tcPr>
          <w:p w14:paraId="790FF17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5BEDAFF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全国大学生波斯语口语大赛（2026年4月首届比赛被冠名为“世图杯”全国大学生波斯语口语大赛）</w:t>
            </w:r>
          </w:p>
          <w:p w14:paraId="7A76363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全国高校大学生波斯语言文学竞赛（由伊朗驻华使馆文化处组织举办）</w:t>
            </w:r>
          </w:p>
        </w:tc>
      </w:tr>
      <w:tr w14:paraId="619926FD">
        <w:trPr>
          <w:cantSplit/>
          <w:jc w:val="center"/>
        </w:trPr>
        <w:tc>
          <w:tcPr>
            <w:tcW w:w="1565" w:type="dxa"/>
            <w:vAlign w:val="center"/>
          </w:tcPr>
          <w:p w14:paraId="6FE5C20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1A51A01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1EBC864D">
        <w:trPr>
          <w:cantSplit/>
          <w:jc w:val="center"/>
        </w:trPr>
        <w:tc>
          <w:tcPr>
            <w:tcW w:w="1565" w:type="dxa"/>
            <w:vAlign w:val="center"/>
          </w:tcPr>
          <w:p w14:paraId="4EC954F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6768567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3B0F89AD">
        <w:trPr>
          <w:cantSplit/>
          <w:jc w:val="center"/>
        </w:trPr>
        <w:tc>
          <w:tcPr>
            <w:tcW w:w="1565" w:type="dxa"/>
            <w:vAlign w:val="center"/>
          </w:tcPr>
          <w:p w14:paraId="616A216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252D586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23D28410">
      <w:pPr>
        <w:pStyle w:val="16"/>
        <w:spacing w:line="360" w:lineRule="auto"/>
        <w:rPr>
          <w:rFonts w:hint="eastAsia" w:ascii="Times New Roman" w:hAnsi="Times New Roman" w:eastAsia="宋体" w:cs="宋体"/>
          <w:color w:val="000000" w:themeColor="text1"/>
          <w:sz w:val="21"/>
          <w:szCs w:val="21"/>
          <w:highlight w:val="none"/>
          <w14:textFill>
            <w14:solidFill>
              <w14:schemeClr w14:val="tx1"/>
            </w14:solidFill>
          </w14:textFill>
        </w:rPr>
      </w:pPr>
    </w:p>
    <w:p w14:paraId="22A2011F">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亚非系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C37F944">
        <w:trPr>
          <w:cantSplit/>
          <w:jc w:val="center"/>
        </w:trPr>
        <w:tc>
          <w:tcPr>
            <w:tcW w:w="1565" w:type="dxa"/>
            <w:vAlign w:val="center"/>
          </w:tcPr>
          <w:p w14:paraId="6E9EF5F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42E4770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B579C98">
        <w:trPr>
          <w:cantSplit/>
          <w:jc w:val="center"/>
        </w:trPr>
        <w:tc>
          <w:tcPr>
            <w:tcW w:w="1565" w:type="dxa"/>
            <w:vAlign w:val="center"/>
          </w:tcPr>
          <w:p w14:paraId="2F065E5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071FAA5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21852B07">
        <w:trPr>
          <w:cantSplit/>
          <w:jc w:val="center"/>
        </w:trPr>
        <w:tc>
          <w:tcPr>
            <w:tcW w:w="1565" w:type="dxa"/>
            <w:vAlign w:val="center"/>
          </w:tcPr>
          <w:p w14:paraId="461391D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31681AC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清华大学、南京大学等国内外知名高校举办的研究生论坛</w:t>
            </w:r>
          </w:p>
        </w:tc>
      </w:tr>
      <w:tr w14:paraId="33792C7C">
        <w:trPr>
          <w:cantSplit/>
          <w:jc w:val="center"/>
        </w:trPr>
        <w:tc>
          <w:tcPr>
            <w:tcW w:w="1565" w:type="dxa"/>
            <w:vAlign w:val="center"/>
          </w:tcPr>
          <w:p w14:paraId="0AC17A61">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30FA730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5AA3D7D5">
        <w:trPr>
          <w:cantSplit/>
          <w:jc w:val="center"/>
        </w:trPr>
        <w:tc>
          <w:tcPr>
            <w:tcW w:w="1565" w:type="dxa"/>
            <w:vAlign w:val="center"/>
          </w:tcPr>
          <w:p w14:paraId="370EDB2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72BB2C4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62275FFB">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7D5E1B0">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英语系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25397EF">
        <w:trPr>
          <w:cantSplit/>
          <w:jc w:val="center"/>
        </w:trPr>
        <w:tc>
          <w:tcPr>
            <w:tcW w:w="1565" w:type="dxa"/>
            <w:vAlign w:val="center"/>
          </w:tcPr>
          <w:p w14:paraId="56BED1C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71AC545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398E073E">
        <w:trPr>
          <w:cantSplit/>
          <w:jc w:val="center"/>
        </w:trPr>
        <w:tc>
          <w:tcPr>
            <w:tcW w:w="1565" w:type="dxa"/>
            <w:vAlign w:val="center"/>
          </w:tcPr>
          <w:p w14:paraId="3179FED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2DBC41A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“外研社·国才杯”全国大学生英语辩论赛</w:t>
            </w:r>
          </w:p>
          <w:p w14:paraId="4E373BA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“理解当代中国”全国大学生外语能力大赛</w:t>
            </w:r>
          </w:p>
          <w:p w14:paraId="60C5B40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“中研杯”全国大学生英语能力挑战赛</w:t>
            </w:r>
          </w:p>
          <w:p w14:paraId="123ACE0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FLTRP/CUDc trial英语辩论联合选拔赛</w:t>
            </w:r>
          </w:p>
          <w:p w14:paraId="6B800CE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全国大学生英语竞赛（NECCS，英语专业组）</w:t>
            </w:r>
          </w:p>
          <w:p w14:paraId="7CCDFFB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“外文奖”全国大学生英语翻译大赛（国家级）</w:t>
            </w:r>
          </w:p>
          <w:p w14:paraId="4CBDA8B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全国外语阅读大赛</w:t>
            </w:r>
          </w:p>
          <w:p w14:paraId="1334CA8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CATTI杯全国翻译大赛</w:t>
            </w:r>
          </w:p>
          <w:p w14:paraId="11B919CD">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全国编译大赛</w:t>
            </w:r>
          </w:p>
          <w:p w14:paraId="2C66243F">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21世纪英语演讲比赛</w:t>
            </w:r>
          </w:p>
          <w:p w14:paraId="2D6B6A8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全国大学生英语翻译等</w:t>
            </w:r>
          </w:p>
        </w:tc>
      </w:tr>
      <w:tr w14:paraId="241EF3E3">
        <w:trPr>
          <w:cantSplit/>
          <w:jc w:val="center"/>
        </w:trPr>
        <w:tc>
          <w:tcPr>
            <w:tcW w:w="1565" w:type="dxa"/>
            <w:vAlign w:val="center"/>
          </w:tcPr>
          <w:p w14:paraId="6B6E762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29BB640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北京市大学生英语演讲比赛</w:t>
            </w:r>
          </w:p>
          <w:p w14:paraId="69B0E0F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“知周杯”全国高校研究生英语教学技能大赛</w:t>
            </w:r>
          </w:p>
          <w:p w14:paraId="54980EB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FASIC 全国澳大利亚研究翻译比赛</w:t>
            </w:r>
          </w:p>
          <w:p w14:paraId="396EC84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必和必拓澳大利亚研究讲席教授项目翻译比赛</w:t>
            </w:r>
          </w:p>
          <w:p w14:paraId="662DF0EE">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全国机器翻译译后编辑大赛</w:t>
            </w:r>
          </w:p>
          <w:p w14:paraId="70CB7F3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《英语世界》杯全国大学生翻译大赛</w:t>
            </w:r>
          </w:p>
          <w:p w14:paraId="5622ED9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中西部外语翻译大赛决赛等</w:t>
            </w:r>
          </w:p>
        </w:tc>
      </w:tr>
      <w:tr w14:paraId="25459DE3">
        <w:trPr>
          <w:cantSplit/>
          <w:jc w:val="center"/>
        </w:trPr>
        <w:tc>
          <w:tcPr>
            <w:tcW w:w="1565" w:type="dxa"/>
            <w:vAlign w:val="center"/>
          </w:tcPr>
          <w:p w14:paraId="0E160DD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23142C45">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全国大学生英语语法挑战赛</w:t>
            </w:r>
          </w:p>
          <w:p w14:paraId="1D7D52C9">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全国高校创新英语挑战活动</w:t>
            </w:r>
          </w:p>
          <w:p w14:paraId="50ADC37D">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北京大学金德航女士传统音乐与戏剧研究奖学金科研方案入围奖</w:t>
            </w:r>
          </w:p>
          <w:p w14:paraId="2CFE8D4E">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北大思想政治理论课课程论坛</w:t>
            </w:r>
          </w:p>
          <w:p w14:paraId="44F41030">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“北大本科生思政课优秀论文”评选活动</w:t>
            </w:r>
          </w:p>
          <w:p w14:paraId="2BD2F073">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北京大学“九坤杯”程序设计竞赛</w:t>
            </w:r>
          </w:p>
          <w:p w14:paraId="5CCE33F0">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北京大学“挑战杯”——五四青年科学竞赛</w:t>
            </w:r>
          </w:p>
          <w:p w14:paraId="10B671A2">
            <w:pPr>
              <w:pStyle w:val="16"/>
              <w:spacing w:line="360" w:lineRule="auto"/>
              <w:jc w:val="both"/>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北京大学外国语学院阅读之星</w:t>
            </w:r>
          </w:p>
        </w:tc>
      </w:tr>
      <w:tr w14:paraId="3022A994">
        <w:trPr>
          <w:cantSplit/>
          <w:jc w:val="center"/>
        </w:trPr>
        <w:tc>
          <w:tcPr>
            <w:tcW w:w="1565" w:type="dxa"/>
            <w:vAlign w:val="center"/>
          </w:tcPr>
          <w:p w14:paraId="691B88A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shd w:val="clear" w:color="auto" w:fill="auto"/>
            <w:vAlign w:val="center"/>
          </w:tcPr>
          <w:p w14:paraId="08955194">
            <w:pPr>
              <w:pStyle w:val="16"/>
              <w:spacing w:line="360" w:lineRule="auto"/>
              <w:jc w:val="center"/>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t>/</w:t>
            </w:r>
          </w:p>
        </w:tc>
      </w:tr>
    </w:tbl>
    <w:p w14:paraId="679249FF">
      <w:pPr>
        <w:pStyle w:val="16"/>
        <w:spacing w:line="360" w:lineRule="auto"/>
        <w:ind w:firstLine="420" w:firstLineChars="20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p w14:paraId="0FAE12F8">
      <w:pPr>
        <w:pStyle w:val="16"/>
        <w:spacing w:line="360" w:lineRule="auto"/>
        <w:ind w:firstLine="420" w:firstLineChars="200"/>
        <w:rPr>
          <w:rFonts w:hAnsi="宋体"/>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外国语言学及应用语言学研究所</w:t>
      </w:r>
      <w:r>
        <w:rPr>
          <w:rFonts w:hint="eastAsia" w:ascii="Times New Roman" w:cs="Times New Roman"/>
          <w:color w:val="000000" w:themeColor="text1"/>
          <w:sz w:val="21"/>
          <w:szCs w:val="21"/>
          <w:highlight w:val="none"/>
          <w:lang w:eastAsia="zh-CN"/>
          <w14:textFill>
            <w14:solidFill>
              <w14:schemeClr w14:val="tx1"/>
            </w14:solidFill>
          </w14:textFill>
        </w:rPr>
        <w:t>、</w:t>
      </w:r>
      <w:r>
        <w:rPr>
          <w:rFonts w:hint="eastAsia" w:ascii="Times New Roman" w:cs="Times New Roman"/>
          <w:color w:val="000000" w:themeColor="text1"/>
          <w:sz w:val="21"/>
          <w:szCs w:val="21"/>
          <w:highlight w:val="none"/>
          <w:lang w:val="en-US" w:eastAsia="zh-CN"/>
          <w14:textFill>
            <w14:solidFill>
              <w14:schemeClr w14:val="tx1"/>
            </w14:solidFill>
          </w14:textFill>
        </w:rPr>
        <w:t>世界文学研究所、</w:t>
      </w:r>
      <w:r>
        <w:rPr>
          <w:rFonts w:hint="eastAsia" w:ascii="Times New Roman" w:cs="Times New Roman"/>
          <w:color w:val="000000" w:themeColor="text1"/>
          <w:sz w:val="21"/>
          <w:szCs w:val="21"/>
          <w:highlight w:val="none"/>
          <w:lang w:val="en-US" w:eastAsia="zh-CN"/>
          <w14:textFill>
            <w14:solidFill>
              <w14:schemeClr w14:val="tx1"/>
            </w14:solidFill>
          </w14:textFill>
        </w:rPr>
        <w:fldChar w:fldCharType="begin"/>
      </w:r>
      <w:r>
        <w:rPr>
          <w:rFonts w:hint="eastAsia" w:ascii="Times New Roman" w:cs="Times New Roman"/>
          <w:color w:val="000000" w:themeColor="text1"/>
          <w:sz w:val="21"/>
          <w:szCs w:val="21"/>
          <w:highlight w:val="none"/>
          <w:lang w:val="en-US" w:eastAsia="zh-CN"/>
          <w14:textFill>
            <w14:solidFill>
              <w14:schemeClr w14:val="tx1"/>
            </w14:solidFill>
          </w14:textFill>
        </w:rPr>
        <w:instrText xml:space="preserve"> HYPERLINK "https://sfl.pku.edu.cn/xssz/27wyx85044.htm" </w:instrText>
      </w:r>
      <w:r>
        <w:rPr>
          <w:rFonts w:hint="eastAsia" w:ascii="Times New Roman" w:cs="Times New Roman"/>
          <w:color w:val="000000" w:themeColor="text1"/>
          <w:sz w:val="21"/>
          <w:szCs w:val="21"/>
          <w:highlight w:val="none"/>
          <w:lang w:val="en-US" w:eastAsia="zh-CN"/>
          <w14:textFill>
            <w14:solidFill>
              <w14:schemeClr w14:val="tx1"/>
            </w14:solidFill>
          </w14:textFill>
        </w:rPr>
        <w:fldChar w:fldCharType="separate"/>
      </w:r>
      <w:r>
        <w:rPr>
          <w:rFonts w:hint="eastAsia" w:ascii="Times New Roman" w:cs="Times New Roman"/>
          <w:color w:val="000000" w:themeColor="text1"/>
          <w:sz w:val="21"/>
          <w:szCs w:val="21"/>
          <w:highlight w:val="none"/>
          <w:lang w:val="en-US" w:eastAsia="zh-CN"/>
          <w14:textFill>
            <w14:solidFill>
              <w14:schemeClr w14:val="tx1"/>
            </w14:solidFill>
          </w14:textFill>
        </w:rPr>
        <w:t>国别和区域研究专业</w:t>
      </w:r>
      <w:r>
        <w:rPr>
          <w:rFonts w:hint="eastAsia" w:ascii="Times New Roman" w:cs="Times New Roman"/>
          <w:color w:val="000000" w:themeColor="text1"/>
          <w:sz w:val="21"/>
          <w:szCs w:val="21"/>
          <w:highlight w:val="none"/>
          <w:lang w:val="en-US" w:eastAsia="zh-CN"/>
          <w14:textFill>
            <w14:solidFill>
              <w14:schemeClr w14:val="tx1"/>
            </w14:solidFill>
          </w14:textFill>
        </w:rPr>
        <w:fldChar w:fldCharType="end"/>
      </w:r>
      <w:r>
        <w:rPr>
          <w:rFonts w:hint="eastAsia" w:ascii="Times New Roman" w:cs="Times New Roman"/>
          <w:color w:val="000000" w:themeColor="text1"/>
          <w:sz w:val="21"/>
          <w:szCs w:val="21"/>
          <w:highlight w:val="none"/>
          <w:lang w:val="en-US" w:eastAsia="zh-CN"/>
          <w14:textFill>
            <w14:solidFill>
              <w14:schemeClr w14:val="tx1"/>
            </w14:solidFill>
          </w14:textFill>
        </w:rPr>
        <w:t>参见学院认定的学科竞赛及各系所认定的语言类学科竞赛。</w:t>
      </w:r>
    </w:p>
    <w:p w14:paraId="2D954D86">
      <w:pPr>
        <w:pStyle w:val="16"/>
        <w:spacing w:line="360" w:lineRule="auto"/>
        <w:rPr>
          <w:rFonts w:hAnsi="宋体"/>
          <w:color w:val="000000" w:themeColor="text1"/>
          <w:highlight w:val="none"/>
          <w14:textFill>
            <w14:solidFill>
              <w14:schemeClr w14:val="tx1"/>
            </w14:solidFill>
          </w14:textFill>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ongti SC">
    <w:panose1 w:val="02010800040101010101"/>
    <w:charset w:val="86"/>
    <w:family w:val="auto"/>
    <w:pitch w:val="default"/>
    <w:sig w:usb0="00000001" w:usb1="080F0000" w:usb2="00000000" w:usb3="00000000" w:csb0="00040000" w:csb1="00000000"/>
  </w:font>
  <w:font w:name="FZSJ-FANGSGBTTOT">
    <w:panose1 w:val="02000000000000000000"/>
    <w:charset w:val="86"/>
    <w:family w:val="auto"/>
    <w:pitch w:val="default"/>
    <w:sig w:usb0="A00002BF" w:usb1="184F6CFA" w:usb2="00000012" w:usb3="00000000" w:csb0="00040001" w:csb1="00000000"/>
  </w:font>
  <w:font w:name="SimHei">
    <w:panose1 w:val="02010609060101010101"/>
    <w:charset w:val="86"/>
    <w:family w:val="auto"/>
    <w:pitch w:val="default"/>
    <w:sig w:usb0="800002BF" w:usb1="38CF7CFA"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Cambria Math">
    <w:altName w:val="Kingsoft Math"/>
    <w:panose1 w:val="02040503050406030204"/>
    <w:charset w:val="00"/>
    <w:family w:val="roman"/>
    <w:pitch w:val="default"/>
    <w:sig w:usb0="00000000" w:usb1="00000000" w:usb2="02000000" w:usb3="00000000" w:csb0="2000019F" w:csb1="00000000"/>
  </w:font>
  <w:font w:name="微软雅黑">
    <w:altName w:val="汉仪旗黑"/>
    <w:panose1 w:val="020B0503020204020204"/>
    <w:charset w:val="86"/>
    <w:family w:val="swiss"/>
    <w:pitch w:val="default"/>
    <w:sig w:usb0="00000000" w:usb1="00000000" w:usb2="00000016" w:usb3="00000000" w:csb0="0004001F" w:csb1="00000000"/>
  </w:font>
  <w:font w:name="Segoe UI">
    <w:altName w:val="苹方-简"/>
    <w:panose1 w:val="020B0502040204020203"/>
    <w:charset w:val="00"/>
    <w:family w:val="auto"/>
    <w:pitch w:val="default"/>
    <w:sig w:usb0="00000000" w:usb1="00000000"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汉仪书宋二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Kingsoft Math">
    <w:panose1 w:val="02040503050406030204"/>
    <w:charset w:val="00"/>
    <w:family w:val="auto"/>
    <w:pitch w:val="default"/>
    <w:sig w:usb0="80000087" w:usb1="00002068"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汉仪旗黑">
    <w:panose1 w:val="00020600040101010101"/>
    <w:charset w:val="86"/>
    <w:family w:val="auto"/>
    <w:pitch w:val="default"/>
    <w:sig w:usb0="A00002BF" w:usb1="1ACF7CFA" w:usb2="00000016" w:usb3="00000000" w:csb0="0004009F" w:csb1="DFD7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5334">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52A0CF"/>
    <w:multiLevelType w:val="singleLevel"/>
    <w:tmpl w:val="AB52A0CF"/>
    <w:lvl w:ilvl="0" w:tentative="0">
      <w:start w:val="2"/>
      <w:numFmt w:val="decimal"/>
      <w:lvlText w:val="%1."/>
      <w:lvlJc w:val="left"/>
      <w:pPr>
        <w:tabs>
          <w:tab w:val="left" w:pos="312"/>
        </w:tabs>
      </w:pPr>
    </w:lvl>
  </w:abstractNum>
  <w:abstractNum w:abstractNumId="1">
    <w:nsid w:val="CF092B84"/>
    <w:multiLevelType w:val="multilevel"/>
    <w:tmpl w:val="CF092B84"/>
    <w:lvl w:ilvl="0" w:tentative="0">
      <w:start w:val="1"/>
      <w:numFmt w:val="bullet"/>
      <w:lvlText w:val="-"/>
      <w:lvlJc w:val="left"/>
      <w:pPr>
        <w:ind w:left="166" w:hanging="166"/>
      </w:pPr>
      <w:rPr>
        <w:rFonts w:hAnsi="Arial Unicode MS"/>
        <w:caps w:val="0"/>
        <w:smallCaps w:val="0"/>
        <w:strike w:val="0"/>
        <w:dstrike w:val="0"/>
        <w:spacing w:val="0"/>
        <w:w w:val="100"/>
        <w:kern w:val="0"/>
        <w:position w:val="0"/>
        <w:highlight w:val="none"/>
        <w:vertAlign w:val="baseline"/>
      </w:rPr>
    </w:lvl>
    <w:lvl w:ilvl="1" w:tentative="0">
      <w:start w:val="1"/>
      <w:numFmt w:val="bullet"/>
      <w:lvlText w:val="-"/>
      <w:lvlJc w:val="left"/>
      <w:pPr>
        <w:ind w:left="766" w:hanging="166"/>
      </w:pPr>
      <w:rPr>
        <w:rFonts w:hAnsi="Arial Unicode MS"/>
        <w:caps w:val="0"/>
        <w:smallCaps w:val="0"/>
        <w:strike w:val="0"/>
        <w:dstrike w:val="0"/>
        <w:spacing w:val="0"/>
        <w:w w:val="100"/>
        <w:kern w:val="0"/>
        <w:position w:val="0"/>
        <w:highlight w:val="none"/>
        <w:vertAlign w:val="baseline"/>
      </w:rPr>
    </w:lvl>
    <w:lvl w:ilvl="2" w:tentative="0">
      <w:start w:val="1"/>
      <w:numFmt w:val="bullet"/>
      <w:lvlText w:val="-"/>
      <w:lvlJc w:val="left"/>
      <w:pPr>
        <w:ind w:left="1366" w:hanging="166"/>
      </w:pPr>
      <w:rPr>
        <w:rFonts w:hAnsi="Arial Unicode MS"/>
        <w:caps w:val="0"/>
        <w:smallCaps w:val="0"/>
        <w:strike w:val="0"/>
        <w:dstrike w:val="0"/>
        <w:spacing w:val="0"/>
        <w:w w:val="100"/>
        <w:kern w:val="0"/>
        <w:position w:val="0"/>
        <w:highlight w:val="none"/>
        <w:vertAlign w:val="baseline"/>
      </w:rPr>
    </w:lvl>
    <w:lvl w:ilvl="3" w:tentative="0">
      <w:start w:val="1"/>
      <w:numFmt w:val="bullet"/>
      <w:lvlText w:val="-"/>
      <w:lvlJc w:val="left"/>
      <w:pPr>
        <w:ind w:left="1966" w:hanging="166"/>
      </w:pPr>
      <w:rPr>
        <w:rFonts w:hAnsi="Arial Unicode MS"/>
        <w:caps w:val="0"/>
        <w:smallCaps w:val="0"/>
        <w:strike w:val="0"/>
        <w:dstrike w:val="0"/>
        <w:spacing w:val="0"/>
        <w:w w:val="100"/>
        <w:kern w:val="0"/>
        <w:position w:val="0"/>
        <w:highlight w:val="none"/>
        <w:vertAlign w:val="baseline"/>
      </w:rPr>
    </w:lvl>
    <w:lvl w:ilvl="4" w:tentative="0">
      <w:start w:val="1"/>
      <w:numFmt w:val="bullet"/>
      <w:lvlText w:val="-"/>
      <w:lvlJc w:val="left"/>
      <w:pPr>
        <w:ind w:left="2566" w:hanging="166"/>
      </w:pPr>
      <w:rPr>
        <w:rFonts w:hAnsi="Arial Unicode MS"/>
        <w:caps w:val="0"/>
        <w:smallCaps w:val="0"/>
        <w:strike w:val="0"/>
        <w:dstrike w:val="0"/>
        <w:spacing w:val="0"/>
        <w:w w:val="100"/>
        <w:kern w:val="0"/>
        <w:position w:val="0"/>
        <w:highlight w:val="none"/>
        <w:vertAlign w:val="baseline"/>
      </w:rPr>
    </w:lvl>
    <w:lvl w:ilvl="5" w:tentative="0">
      <w:start w:val="1"/>
      <w:numFmt w:val="bullet"/>
      <w:lvlText w:val="-"/>
      <w:lvlJc w:val="left"/>
      <w:pPr>
        <w:ind w:left="3166" w:hanging="166"/>
      </w:pPr>
      <w:rPr>
        <w:rFonts w:hAnsi="Arial Unicode MS"/>
        <w:caps w:val="0"/>
        <w:smallCaps w:val="0"/>
        <w:strike w:val="0"/>
        <w:dstrike w:val="0"/>
        <w:spacing w:val="0"/>
        <w:w w:val="100"/>
        <w:kern w:val="0"/>
        <w:position w:val="0"/>
        <w:highlight w:val="none"/>
        <w:vertAlign w:val="baseline"/>
      </w:rPr>
    </w:lvl>
    <w:lvl w:ilvl="6" w:tentative="0">
      <w:start w:val="1"/>
      <w:numFmt w:val="bullet"/>
      <w:lvlText w:val="-"/>
      <w:lvlJc w:val="left"/>
      <w:pPr>
        <w:ind w:left="3766" w:hanging="166"/>
      </w:pPr>
      <w:rPr>
        <w:rFonts w:hAnsi="Arial Unicode MS"/>
        <w:caps w:val="0"/>
        <w:smallCaps w:val="0"/>
        <w:strike w:val="0"/>
        <w:dstrike w:val="0"/>
        <w:spacing w:val="0"/>
        <w:w w:val="100"/>
        <w:kern w:val="0"/>
        <w:position w:val="0"/>
        <w:highlight w:val="none"/>
        <w:vertAlign w:val="baseline"/>
      </w:rPr>
    </w:lvl>
    <w:lvl w:ilvl="7" w:tentative="0">
      <w:start w:val="1"/>
      <w:numFmt w:val="bullet"/>
      <w:lvlText w:val="-"/>
      <w:lvlJc w:val="left"/>
      <w:pPr>
        <w:ind w:left="4366" w:hanging="166"/>
      </w:pPr>
      <w:rPr>
        <w:rFonts w:hAnsi="Arial Unicode MS"/>
        <w:caps w:val="0"/>
        <w:smallCaps w:val="0"/>
        <w:strike w:val="0"/>
        <w:dstrike w:val="0"/>
        <w:spacing w:val="0"/>
        <w:w w:val="100"/>
        <w:kern w:val="0"/>
        <w:position w:val="0"/>
        <w:highlight w:val="none"/>
        <w:vertAlign w:val="baseline"/>
      </w:rPr>
    </w:lvl>
    <w:lvl w:ilvl="8" w:tentative="0">
      <w:start w:val="1"/>
      <w:numFmt w:val="bullet"/>
      <w:lvlText w:val="-"/>
      <w:lvlJc w:val="left"/>
      <w:pPr>
        <w:ind w:left="4966" w:hanging="166"/>
      </w:pPr>
      <w:rPr>
        <w:rFonts w:hAnsi="Arial Unicode MS"/>
        <w:caps w:val="0"/>
        <w:smallCaps w:val="0"/>
        <w:strike w:val="0"/>
        <w:dstrike w:val="0"/>
        <w:spacing w:val="0"/>
        <w:w w:val="100"/>
        <w:kern w:val="0"/>
        <w:position w:val="0"/>
        <w:highlight w:val="none"/>
        <w:vertAlign w:val="baseline"/>
      </w:rPr>
    </w:lvl>
  </w:abstractNum>
  <w:abstractNum w:abstractNumId="2">
    <w:nsid w:val="4D492B6D"/>
    <w:multiLevelType w:val="multilevel"/>
    <w:tmpl w:val="4D492B6D"/>
    <w:lvl w:ilvl="0" w:tentative="0">
      <w:start w:val="1"/>
      <w:numFmt w:val="chineseCountingThousand"/>
      <w:lvlText w:val="第%1条 "/>
      <w:lvlJc w:val="left"/>
      <w:pPr>
        <w:ind w:left="1838" w:hanging="420"/>
      </w:pPr>
      <w:rPr>
        <w:rFonts w:hint="eastAsia"/>
        <w:b/>
        <w:i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wZTA0ZjE2NDJlNjAyMjk4N2I0ZjU1NDI5ZmU0MjAifQ=="/>
  </w:docVars>
  <w:rsids>
    <w:rsidRoot w:val="003479C3"/>
    <w:rsid w:val="00007AB0"/>
    <w:rsid w:val="00010324"/>
    <w:rsid w:val="000238BF"/>
    <w:rsid w:val="00032FD3"/>
    <w:rsid w:val="00035447"/>
    <w:rsid w:val="00040EE0"/>
    <w:rsid w:val="00045CAD"/>
    <w:rsid w:val="00056685"/>
    <w:rsid w:val="00060800"/>
    <w:rsid w:val="00076627"/>
    <w:rsid w:val="00081BCF"/>
    <w:rsid w:val="00086D2D"/>
    <w:rsid w:val="00086E4D"/>
    <w:rsid w:val="00090DC6"/>
    <w:rsid w:val="000A1F88"/>
    <w:rsid w:val="000A36ED"/>
    <w:rsid w:val="000B0806"/>
    <w:rsid w:val="000B59EA"/>
    <w:rsid w:val="000B64D2"/>
    <w:rsid w:val="000C084B"/>
    <w:rsid w:val="000C259D"/>
    <w:rsid w:val="000C32C2"/>
    <w:rsid w:val="000C61A3"/>
    <w:rsid w:val="000C6BED"/>
    <w:rsid w:val="000E103B"/>
    <w:rsid w:val="000E29B9"/>
    <w:rsid w:val="000E6AC8"/>
    <w:rsid w:val="000F469C"/>
    <w:rsid w:val="00111B43"/>
    <w:rsid w:val="00120E8C"/>
    <w:rsid w:val="001230FE"/>
    <w:rsid w:val="0012695E"/>
    <w:rsid w:val="00127AD4"/>
    <w:rsid w:val="00140230"/>
    <w:rsid w:val="0014028C"/>
    <w:rsid w:val="00147BD9"/>
    <w:rsid w:val="001619EC"/>
    <w:rsid w:val="00176717"/>
    <w:rsid w:val="001773F3"/>
    <w:rsid w:val="00182F9E"/>
    <w:rsid w:val="001854E5"/>
    <w:rsid w:val="00186B5C"/>
    <w:rsid w:val="001A2174"/>
    <w:rsid w:val="001C2681"/>
    <w:rsid w:val="001C4248"/>
    <w:rsid w:val="001D2729"/>
    <w:rsid w:val="001D551D"/>
    <w:rsid w:val="001E1829"/>
    <w:rsid w:val="00200EED"/>
    <w:rsid w:val="002128B9"/>
    <w:rsid w:val="00217E6A"/>
    <w:rsid w:val="002228F6"/>
    <w:rsid w:val="002344A5"/>
    <w:rsid w:val="002635C4"/>
    <w:rsid w:val="00264F73"/>
    <w:rsid w:val="00267268"/>
    <w:rsid w:val="00271D32"/>
    <w:rsid w:val="00277A45"/>
    <w:rsid w:val="00286153"/>
    <w:rsid w:val="00290360"/>
    <w:rsid w:val="00293831"/>
    <w:rsid w:val="002C7F7D"/>
    <w:rsid w:val="002D2701"/>
    <w:rsid w:val="002D2E2E"/>
    <w:rsid w:val="002D67C8"/>
    <w:rsid w:val="002E0C69"/>
    <w:rsid w:val="002F276A"/>
    <w:rsid w:val="00300BE1"/>
    <w:rsid w:val="0031239C"/>
    <w:rsid w:val="0031603F"/>
    <w:rsid w:val="00316E89"/>
    <w:rsid w:val="00325C75"/>
    <w:rsid w:val="003316D9"/>
    <w:rsid w:val="00344930"/>
    <w:rsid w:val="00344EB9"/>
    <w:rsid w:val="003479C3"/>
    <w:rsid w:val="0035278C"/>
    <w:rsid w:val="00357B80"/>
    <w:rsid w:val="00371DDB"/>
    <w:rsid w:val="00375423"/>
    <w:rsid w:val="003765B2"/>
    <w:rsid w:val="003804C5"/>
    <w:rsid w:val="00390C99"/>
    <w:rsid w:val="00392B4D"/>
    <w:rsid w:val="00393F47"/>
    <w:rsid w:val="00396C90"/>
    <w:rsid w:val="003A649D"/>
    <w:rsid w:val="003B583B"/>
    <w:rsid w:val="003C5723"/>
    <w:rsid w:val="003D62BA"/>
    <w:rsid w:val="003E115F"/>
    <w:rsid w:val="003E1777"/>
    <w:rsid w:val="003E4BB1"/>
    <w:rsid w:val="003F4224"/>
    <w:rsid w:val="003F623B"/>
    <w:rsid w:val="00402B58"/>
    <w:rsid w:val="00421108"/>
    <w:rsid w:val="00434225"/>
    <w:rsid w:val="004434F9"/>
    <w:rsid w:val="004435F4"/>
    <w:rsid w:val="004506CA"/>
    <w:rsid w:val="00460E76"/>
    <w:rsid w:val="00470E1F"/>
    <w:rsid w:val="00473E60"/>
    <w:rsid w:val="0047414A"/>
    <w:rsid w:val="00480D96"/>
    <w:rsid w:val="00483A41"/>
    <w:rsid w:val="00497699"/>
    <w:rsid w:val="004A1D06"/>
    <w:rsid w:val="004B4D95"/>
    <w:rsid w:val="004B7C77"/>
    <w:rsid w:val="004C165D"/>
    <w:rsid w:val="004C39DF"/>
    <w:rsid w:val="004E2E9C"/>
    <w:rsid w:val="004F059B"/>
    <w:rsid w:val="004F4496"/>
    <w:rsid w:val="004F535F"/>
    <w:rsid w:val="0051093E"/>
    <w:rsid w:val="005115BD"/>
    <w:rsid w:val="00516910"/>
    <w:rsid w:val="0053054C"/>
    <w:rsid w:val="005324F7"/>
    <w:rsid w:val="005327BB"/>
    <w:rsid w:val="00537571"/>
    <w:rsid w:val="00554ED6"/>
    <w:rsid w:val="00572DF6"/>
    <w:rsid w:val="00577725"/>
    <w:rsid w:val="0058033D"/>
    <w:rsid w:val="0059425B"/>
    <w:rsid w:val="005A7150"/>
    <w:rsid w:val="005B00DF"/>
    <w:rsid w:val="005B5122"/>
    <w:rsid w:val="005B63F6"/>
    <w:rsid w:val="005C1C25"/>
    <w:rsid w:val="005E1A53"/>
    <w:rsid w:val="005F120D"/>
    <w:rsid w:val="006141E9"/>
    <w:rsid w:val="00615001"/>
    <w:rsid w:val="00651668"/>
    <w:rsid w:val="00666659"/>
    <w:rsid w:val="00682BED"/>
    <w:rsid w:val="006853DB"/>
    <w:rsid w:val="0068570C"/>
    <w:rsid w:val="0069044F"/>
    <w:rsid w:val="006A45CB"/>
    <w:rsid w:val="006A55E7"/>
    <w:rsid w:val="006C4291"/>
    <w:rsid w:val="006C77B1"/>
    <w:rsid w:val="006D0328"/>
    <w:rsid w:val="006D7670"/>
    <w:rsid w:val="006F2C07"/>
    <w:rsid w:val="00706012"/>
    <w:rsid w:val="00717527"/>
    <w:rsid w:val="00730EC0"/>
    <w:rsid w:val="007319AC"/>
    <w:rsid w:val="00736723"/>
    <w:rsid w:val="00740AD6"/>
    <w:rsid w:val="0074579E"/>
    <w:rsid w:val="00745A99"/>
    <w:rsid w:val="00757639"/>
    <w:rsid w:val="007635A9"/>
    <w:rsid w:val="00764F27"/>
    <w:rsid w:val="00766938"/>
    <w:rsid w:val="00770099"/>
    <w:rsid w:val="00781767"/>
    <w:rsid w:val="00790114"/>
    <w:rsid w:val="007A0059"/>
    <w:rsid w:val="007A6F6C"/>
    <w:rsid w:val="007B312C"/>
    <w:rsid w:val="007C72F4"/>
    <w:rsid w:val="007D2320"/>
    <w:rsid w:val="007D5D60"/>
    <w:rsid w:val="007D624D"/>
    <w:rsid w:val="007D77FC"/>
    <w:rsid w:val="007E0D5B"/>
    <w:rsid w:val="007E5D00"/>
    <w:rsid w:val="007F0424"/>
    <w:rsid w:val="007F48AF"/>
    <w:rsid w:val="00800A26"/>
    <w:rsid w:val="00801193"/>
    <w:rsid w:val="008012D3"/>
    <w:rsid w:val="008058F7"/>
    <w:rsid w:val="008120A0"/>
    <w:rsid w:val="00824C41"/>
    <w:rsid w:val="00827BD3"/>
    <w:rsid w:val="0083323C"/>
    <w:rsid w:val="00833AE6"/>
    <w:rsid w:val="00833E37"/>
    <w:rsid w:val="00840F92"/>
    <w:rsid w:val="008463E0"/>
    <w:rsid w:val="00854317"/>
    <w:rsid w:val="00854A9A"/>
    <w:rsid w:val="00857277"/>
    <w:rsid w:val="00864E4A"/>
    <w:rsid w:val="00870333"/>
    <w:rsid w:val="00877EF4"/>
    <w:rsid w:val="008A3469"/>
    <w:rsid w:val="008A4955"/>
    <w:rsid w:val="008A7305"/>
    <w:rsid w:val="008C1407"/>
    <w:rsid w:val="008C63B1"/>
    <w:rsid w:val="0091452A"/>
    <w:rsid w:val="009166D2"/>
    <w:rsid w:val="009207BF"/>
    <w:rsid w:val="00925B90"/>
    <w:rsid w:val="00937B38"/>
    <w:rsid w:val="0094502A"/>
    <w:rsid w:val="00955D1A"/>
    <w:rsid w:val="0095732E"/>
    <w:rsid w:val="00972D66"/>
    <w:rsid w:val="00974EB8"/>
    <w:rsid w:val="00982D8E"/>
    <w:rsid w:val="00992E6A"/>
    <w:rsid w:val="00996A64"/>
    <w:rsid w:val="009A0C95"/>
    <w:rsid w:val="009A28FE"/>
    <w:rsid w:val="009B251A"/>
    <w:rsid w:val="009B2643"/>
    <w:rsid w:val="009B5755"/>
    <w:rsid w:val="009C72B7"/>
    <w:rsid w:val="009D21F2"/>
    <w:rsid w:val="009D317C"/>
    <w:rsid w:val="009F6203"/>
    <w:rsid w:val="00A13FB3"/>
    <w:rsid w:val="00A2143D"/>
    <w:rsid w:val="00A23E2E"/>
    <w:rsid w:val="00A261E5"/>
    <w:rsid w:val="00A305A9"/>
    <w:rsid w:val="00A332C2"/>
    <w:rsid w:val="00A354CF"/>
    <w:rsid w:val="00A4019F"/>
    <w:rsid w:val="00A40D62"/>
    <w:rsid w:val="00A4114B"/>
    <w:rsid w:val="00A416DF"/>
    <w:rsid w:val="00A7208A"/>
    <w:rsid w:val="00A72A26"/>
    <w:rsid w:val="00A918F1"/>
    <w:rsid w:val="00A921AE"/>
    <w:rsid w:val="00A9754F"/>
    <w:rsid w:val="00AA2625"/>
    <w:rsid w:val="00AC075E"/>
    <w:rsid w:val="00AC710E"/>
    <w:rsid w:val="00AE7C8B"/>
    <w:rsid w:val="00AF4B0B"/>
    <w:rsid w:val="00B064A8"/>
    <w:rsid w:val="00B17469"/>
    <w:rsid w:val="00B20E07"/>
    <w:rsid w:val="00B21BD7"/>
    <w:rsid w:val="00B315FC"/>
    <w:rsid w:val="00B36938"/>
    <w:rsid w:val="00B369D4"/>
    <w:rsid w:val="00B451CE"/>
    <w:rsid w:val="00B45D9C"/>
    <w:rsid w:val="00B57B08"/>
    <w:rsid w:val="00B673D8"/>
    <w:rsid w:val="00B71AD0"/>
    <w:rsid w:val="00B848B1"/>
    <w:rsid w:val="00B85688"/>
    <w:rsid w:val="00B87F9B"/>
    <w:rsid w:val="00B90EFC"/>
    <w:rsid w:val="00B935D6"/>
    <w:rsid w:val="00B93A87"/>
    <w:rsid w:val="00B95DCE"/>
    <w:rsid w:val="00B9716F"/>
    <w:rsid w:val="00BA2D3B"/>
    <w:rsid w:val="00BB46A3"/>
    <w:rsid w:val="00BD2C17"/>
    <w:rsid w:val="00BD35D4"/>
    <w:rsid w:val="00BE51C1"/>
    <w:rsid w:val="00BE7B72"/>
    <w:rsid w:val="00BF27A9"/>
    <w:rsid w:val="00C01566"/>
    <w:rsid w:val="00C03106"/>
    <w:rsid w:val="00C07754"/>
    <w:rsid w:val="00C15092"/>
    <w:rsid w:val="00C26CE9"/>
    <w:rsid w:val="00C33854"/>
    <w:rsid w:val="00C33858"/>
    <w:rsid w:val="00C352BC"/>
    <w:rsid w:val="00C3792A"/>
    <w:rsid w:val="00C5033C"/>
    <w:rsid w:val="00C50FF0"/>
    <w:rsid w:val="00C53DB5"/>
    <w:rsid w:val="00C5597B"/>
    <w:rsid w:val="00C57791"/>
    <w:rsid w:val="00C707B1"/>
    <w:rsid w:val="00C869AA"/>
    <w:rsid w:val="00CA5C27"/>
    <w:rsid w:val="00CB344B"/>
    <w:rsid w:val="00CC51F0"/>
    <w:rsid w:val="00CC78CD"/>
    <w:rsid w:val="00CD7E81"/>
    <w:rsid w:val="00CE453D"/>
    <w:rsid w:val="00CF1522"/>
    <w:rsid w:val="00CF6198"/>
    <w:rsid w:val="00CF7C23"/>
    <w:rsid w:val="00D00041"/>
    <w:rsid w:val="00D02593"/>
    <w:rsid w:val="00D028BC"/>
    <w:rsid w:val="00D1185A"/>
    <w:rsid w:val="00D46530"/>
    <w:rsid w:val="00D55F09"/>
    <w:rsid w:val="00D568F3"/>
    <w:rsid w:val="00D77E46"/>
    <w:rsid w:val="00D83501"/>
    <w:rsid w:val="00D836F2"/>
    <w:rsid w:val="00DB2A5E"/>
    <w:rsid w:val="00DB6240"/>
    <w:rsid w:val="00DD2FAD"/>
    <w:rsid w:val="00DD40D1"/>
    <w:rsid w:val="00DE0926"/>
    <w:rsid w:val="00DE14AA"/>
    <w:rsid w:val="00DF201F"/>
    <w:rsid w:val="00E004D6"/>
    <w:rsid w:val="00E063FE"/>
    <w:rsid w:val="00E138B0"/>
    <w:rsid w:val="00E35A45"/>
    <w:rsid w:val="00E37DD2"/>
    <w:rsid w:val="00E40314"/>
    <w:rsid w:val="00E4195D"/>
    <w:rsid w:val="00E602AD"/>
    <w:rsid w:val="00E62994"/>
    <w:rsid w:val="00E71813"/>
    <w:rsid w:val="00E748CA"/>
    <w:rsid w:val="00E771C0"/>
    <w:rsid w:val="00EA64E4"/>
    <w:rsid w:val="00EB0F90"/>
    <w:rsid w:val="00EB549E"/>
    <w:rsid w:val="00EE1E41"/>
    <w:rsid w:val="00EF2A8A"/>
    <w:rsid w:val="00F01440"/>
    <w:rsid w:val="00F03CA6"/>
    <w:rsid w:val="00F24A25"/>
    <w:rsid w:val="00F422C0"/>
    <w:rsid w:val="00F51DC1"/>
    <w:rsid w:val="00F6064C"/>
    <w:rsid w:val="00F73162"/>
    <w:rsid w:val="00F74C47"/>
    <w:rsid w:val="00F90126"/>
    <w:rsid w:val="00F91B18"/>
    <w:rsid w:val="00FA72B7"/>
    <w:rsid w:val="00FB51C3"/>
    <w:rsid w:val="00FB584C"/>
    <w:rsid w:val="00FD0020"/>
    <w:rsid w:val="00FF08E5"/>
    <w:rsid w:val="00FF3111"/>
    <w:rsid w:val="018F2EE2"/>
    <w:rsid w:val="01CD32CA"/>
    <w:rsid w:val="0216715F"/>
    <w:rsid w:val="02E66FBD"/>
    <w:rsid w:val="03903920"/>
    <w:rsid w:val="04F82B4C"/>
    <w:rsid w:val="05C14046"/>
    <w:rsid w:val="0A377451"/>
    <w:rsid w:val="0BE856C8"/>
    <w:rsid w:val="0D3C296E"/>
    <w:rsid w:val="0DB37F58"/>
    <w:rsid w:val="0F3C5F34"/>
    <w:rsid w:val="11365128"/>
    <w:rsid w:val="14337711"/>
    <w:rsid w:val="1571672E"/>
    <w:rsid w:val="15E01B27"/>
    <w:rsid w:val="1814766C"/>
    <w:rsid w:val="1A667526"/>
    <w:rsid w:val="1FF62A1A"/>
    <w:rsid w:val="21244D7F"/>
    <w:rsid w:val="216655B5"/>
    <w:rsid w:val="223631D9"/>
    <w:rsid w:val="23CD191B"/>
    <w:rsid w:val="27160BD2"/>
    <w:rsid w:val="2A6428AE"/>
    <w:rsid w:val="2D76092E"/>
    <w:rsid w:val="2E3F2353"/>
    <w:rsid w:val="2E913546"/>
    <w:rsid w:val="2F505567"/>
    <w:rsid w:val="30921342"/>
    <w:rsid w:val="309537C1"/>
    <w:rsid w:val="33F20F2A"/>
    <w:rsid w:val="34AB4A25"/>
    <w:rsid w:val="371061AF"/>
    <w:rsid w:val="37294D73"/>
    <w:rsid w:val="3DBF4A95"/>
    <w:rsid w:val="3E261FA6"/>
    <w:rsid w:val="3EA7316A"/>
    <w:rsid w:val="420A5691"/>
    <w:rsid w:val="44B05DC0"/>
    <w:rsid w:val="44CF137A"/>
    <w:rsid w:val="4546ECDB"/>
    <w:rsid w:val="45C83899"/>
    <w:rsid w:val="4769333A"/>
    <w:rsid w:val="48676265"/>
    <w:rsid w:val="4B83273C"/>
    <w:rsid w:val="535D3873"/>
    <w:rsid w:val="53C75190"/>
    <w:rsid w:val="55230AEC"/>
    <w:rsid w:val="55463EC3"/>
    <w:rsid w:val="57580F21"/>
    <w:rsid w:val="58E16CF4"/>
    <w:rsid w:val="5B9875E2"/>
    <w:rsid w:val="5D0E3E30"/>
    <w:rsid w:val="5EE66E12"/>
    <w:rsid w:val="5F1D09EB"/>
    <w:rsid w:val="609C45A3"/>
    <w:rsid w:val="636CEB02"/>
    <w:rsid w:val="6455415A"/>
    <w:rsid w:val="67A27113"/>
    <w:rsid w:val="6A0665BA"/>
    <w:rsid w:val="6A7C687C"/>
    <w:rsid w:val="6A7F58A9"/>
    <w:rsid w:val="6B79100E"/>
    <w:rsid w:val="6E217E67"/>
    <w:rsid w:val="73326672"/>
    <w:rsid w:val="734B14E2"/>
    <w:rsid w:val="735302A5"/>
    <w:rsid w:val="735F6D3B"/>
    <w:rsid w:val="749D3FBF"/>
    <w:rsid w:val="74A25132"/>
    <w:rsid w:val="75343EB9"/>
    <w:rsid w:val="76141111"/>
    <w:rsid w:val="77542821"/>
    <w:rsid w:val="781432F0"/>
    <w:rsid w:val="79E44D68"/>
    <w:rsid w:val="7BBF0CBF"/>
    <w:rsid w:val="7CDD69FD"/>
    <w:rsid w:val="7EEF9BB8"/>
    <w:rsid w:val="7F3E3AE0"/>
    <w:rsid w:val="7FF392B2"/>
    <w:rsid w:val="DE71D8DE"/>
    <w:rsid w:val="E6FF48CE"/>
    <w:rsid w:val="F7A7EEF0"/>
    <w:rsid w:val="F95F1450"/>
    <w:rsid w:val="F9FE58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semiHidden/>
    <w:qFormat/>
    <w:uiPriority w:val="0"/>
    <w:pPr>
      <w:snapToGrid w:val="0"/>
      <w:jc w:val="left"/>
    </w:pPr>
    <w:rPr>
      <w:sz w:val="18"/>
      <w:szCs w:val="18"/>
    </w:rPr>
  </w:style>
  <w:style w:type="paragraph" w:styleId="7">
    <w:name w:val="annotation subject"/>
    <w:basedOn w:val="2"/>
    <w:next w:val="2"/>
    <w:semiHidden/>
    <w:qFormat/>
    <w:uiPriority w:val="0"/>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000FF"/>
      <w:u w:val="single"/>
    </w:rPr>
  </w:style>
  <w:style w:type="character" w:styleId="12">
    <w:name w:val="annotation reference"/>
    <w:semiHidden/>
    <w:qFormat/>
    <w:uiPriority w:val="0"/>
    <w:rPr>
      <w:sz w:val="21"/>
      <w:szCs w:val="21"/>
    </w:rPr>
  </w:style>
  <w:style w:type="character" w:styleId="13">
    <w:name w:val="footnote reference"/>
    <w:semiHidden/>
    <w:qFormat/>
    <w:uiPriority w:val="0"/>
    <w:rPr>
      <w:vertAlign w:val="superscript"/>
    </w:rPr>
  </w:style>
  <w:style w:type="character" w:customStyle="1" w:styleId="14">
    <w:name w:val="页脚 字符"/>
    <w:link w:val="4"/>
    <w:qFormat/>
    <w:uiPriority w:val="0"/>
    <w:rPr>
      <w:kern w:val="2"/>
      <w:sz w:val="18"/>
      <w:szCs w:val="18"/>
    </w:rPr>
  </w:style>
  <w:style w:type="character" w:customStyle="1" w:styleId="15">
    <w:name w:val="页眉 字符"/>
    <w:link w:val="5"/>
    <w:qFormat/>
    <w:uiPriority w:val="0"/>
    <w:rPr>
      <w:kern w:val="2"/>
      <w:sz w:val="18"/>
      <w:szCs w:val="18"/>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Char1"/>
    <w:basedOn w:val="1"/>
    <w:qFormat/>
    <w:uiPriority w:val="0"/>
    <w:rPr>
      <w:rFonts w:ascii="宋体" w:hAnsi="宋体" w:cs="宋体"/>
      <w:sz w:val="32"/>
      <w:szCs w:val="32"/>
    </w:rPr>
  </w:style>
  <w:style w:type="paragraph" w:customStyle="1" w:styleId="18">
    <w:name w:val="Char Char Char Char Char Char Char"/>
    <w:basedOn w:val="1"/>
    <w:qFormat/>
    <w:uiPriority w:val="0"/>
    <w:rPr>
      <w:rFonts w:ascii="宋体" w:hAnsi="宋体" w:cs="Courier New"/>
      <w:sz w:val="32"/>
      <w:szCs w:val="32"/>
    </w:rPr>
  </w:style>
  <w:style w:type="paragraph" w:customStyle="1" w:styleId="19">
    <w:name w:val="修订1"/>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b40813fe-622e-42fe-a4e7-15756875ddf2</errorID>
      <errorWord>(</errorWord>
      <group>L1_Format</group>
      <groupName>格式问题</groupName>
      <ability>L2_HalfPunc_CN</ability>
      <abilityName>全半角问题</abilityName>
      <candidateList>
        <item>（</item>
      </candidateList>
      <explain>文本全半角错误。</explain>
      <paraID>4F0FB59D</paraID>
      <start>34</start>
      <end>35</end>
      <status>modified</status>
      <modifiedWord>（</modifiedWord>
      <trackRevisions>false</trackRevisions>
    </reviewItem>
    <reviewItem>
      <errorID>2875a073-71b1-44f2-8031-24604ba28d27</errorID>
      <errorWord>)</errorWord>
      <group>L1_Format</group>
      <groupName>格式问题</groupName>
      <ability>L2_HalfPunc_CN</ability>
      <abilityName>全半角问题</abilityName>
      <candidateList>
        <item>）</item>
      </candidateList>
      <explain>文本全半角错误。</explain>
      <paraID>4F0FB59D</paraID>
      <start>37</start>
      <end>38</end>
      <status>modified</status>
      <modifiedWord>）</modifiedWord>
      <trackRevisions>false</trackRevisions>
    </reviewItem>
    <reviewItem>
      <errorID>545682ae-d6f9-4e7b-a20a-e59e4e0d5b67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323C0BB0</paraID>
      <start>0</start>
      <end>2</end>
      <status>unmodified</status>
      <modifiedWord/>
      <trackRevisions>false</trackRevisions>
    </reviewItem>
    <reviewItem>
      <errorID>fa12e75a-d7b3-4d62-b342-d7e29b4c3ee5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52F7DD22</paraID>
      <start>0</start>
      <end>2</end>
      <status>unmodified</status>
      <modifiedWord/>
      <trackRevisions>false</trackRevisions>
    </reviewItem>
    <reviewItem>
      <errorID>a0732eb4-fbb7-484e-a8a6-a8403d43d392</errorID>
      <errorWord>法律、法规</errorWord>
      <group>L1_Word</group>
      <groupName>字词问题</groupName>
      <ability>L2_Typo</ability>
      <abilityName>字词错误</abilityName>
      <candidateList>
        <item>法律法规</item>
      </candidateList>
      <explain/>
      <paraID>357066E4</paraID>
      <start>14</start>
      <end>19</end>
      <status>unmodified</status>
      <modifiedWord/>
      <trackRevisions>false</trackRevisions>
    </reviewItem>
    <reviewItem>
      <errorID>0e4117b1-c3be-48d8-94b4-8f1602a02bd3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1D173C50</paraID>
      <start>0</start>
      <end>2</end>
      <status>unmodified</status>
      <modifiedWord/>
      <trackRevisions>false</trackRevisions>
    </reviewItem>
    <reviewItem>
      <errorID>9ae5e3e4-ea1a-4f94-91f3-2b7847c8959d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5A68741F</paraID>
      <start>0</start>
      <end>2</end>
      <status>unmodified</status>
      <modifiedWord/>
      <trackRevisions>false</trackRevisions>
    </reviewItem>
    <reviewItem>
      <errorID>49927642-4d55-4769-95cc-d719c6c8ecf9</errorID>
      <errorWord>（</errorWord>
      <group>L1_Punc</group>
      <groupName>标点问题</groupName>
      <ability>L2_Punc_CN</ability>
      <abilityName>标点符号问题</abilityName>
      <candidateList/>
      <explain>同一形式括号套用。</explain>
      <paraID>404C1B56</paraID>
      <start>69</start>
      <end>70</end>
      <status>unmodified</status>
      <modifiedWord/>
      <trackRevisions>false</trackRevisions>
    </reviewItem>
    <reviewItem>
      <errorID>ce8d7b3b-4c7c-4d3b-b59c-e2e918fd0252</errorID>
      <errorWord>）</errorWord>
      <group>L1_Punc</group>
      <groupName>标点问题</groupName>
      <ability>L2_Punc_CN</ability>
      <abilityName>标点符号问题</abilityName>
      <candidateList/>
      <explain>同一形式括号套用。</explain>
      <paraID>404C1B56</paraID>
      <start>74</start>
      <end>75</end>
      <status>unmodified</status>
      <modifiedWord/>
      <trackRevisions>false</trackRevisions>
    </reviewItem>
    <reviewItem>
      <errorID>e0ef38ae-6176-4c66-b2d6-c0977e9c4544</errorID>
      <errorWord>:</errorWord>
      <group>L1_Format</group>
      <groupName>格式问题</groupName>
      <ability>L2_HalfPunc_CN</ability>
      <abilityName>全半角问题</abilityName>
      <candidateList>
        <item>：</item>
      </candidateList>
      <explain>文本全半角错误。</explain>
      <paraID> 4C8182B</paraID>
      <start>3</start>
      <end>4</end>
      <status>modified</status>
      <modifiedWord>：</modifiedWord>
      <trackRevisions>false</trackRevisions>
    </reviewItem>
    <reviewItem>
      <errorID>e5a2e6bf-20f5-4437-a808-4bf1f10d6ca8</errorID>
      <errorWord>)</errorWord>
      <group>L1_Format</group>
      <groupName>格式问题</groupName>
      <ability>L2_HalfPunc_CN</ability>
      <abilityName>全半角问题</abilityName>
      <candidateList>
        <item>）</item>
      </candidateList>
      <explain>文本全半角错误。</explain>
      <paraID> FB1B6C3</paraID>
      <start>26</start>
      <end>27</end>
      <status>unmodified</status>
      <modifiedWord/>
      <trackRevisions>false</trackRevisions>
    </reviewItem>
    <reviewItem>
      <errorID>e2fbca7d-8578-4ba7-a2b3-0acc70eb0a04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33B8F705</paraID>
      <start>43</start>
      <end>44</end>
      <status>unmodified</status>
      <modifiedWord/>
      <trackRevisions>false</trackRevisions>
    </reviewItem>
    <reviewItem>
      <errorID>a398892d-6ae8-4fb2-a9fa-4feb96d668f9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2949D722</paraID>
      <start>0</start>
      <end>2</end>
      <status>unmodified</status>
      <modifiedWord/>
      <trackRevisions>false</trackRevisions>
    </reviewItem>
    <reviewItem>
      <errorID>303a4b49-ec47-46b6-935b-62b6ebff897b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EF33232</paraID>
      <start>0</start>
      <end>2</end>
      <status>unmodified</status>
      <modifiedWord/>
      <trackRevisions>false</trackRevisions>
    </reviewItem>
    <reviewItem>
      <errorID>114cfdb6-59f9-4efd-a94c-f9408f46f7e4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2CB89B4</paraID>
      <start>0</start>
      <end>2</end>
      <status>unmodified</status>
      <modifiedWord/>
      <trackRevisions>false</trackRevisions>
    </reviewItem>
    <reviewItem>
      <errorID>bdeadad6-e053-4816-a6d6-4a309ec15fba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556C69D7</paraID>
      <start>0</start>
      <end>2</end>
      <status>unmodified</status>
      <modifiedWord/>
      <trackRevisions>false</trackRevisions>
    </reviewItem>
    <reviewItem>
      <errorID>0e9a2b0b-4d26-4952-9aa4-d83ca8360b01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3FD83371</paraID>
      <start>0</start>
      <end>2</end>
      <status>unmodified</status>
      <modifiedWord/>
      <trackRevisions>false</trackRevisions>
    </reviewItem>
    <reviewItem>
      <errorID>757f27a0-4c17-4ab7-a028-3b2dd14d362d</errorID>
      <errorWord>记入</errorWord>
      <group>L1_Word</group>
      <groupName>字词问题</groupName>
      <ability>L2_Typo</ability>
      <abilityName>字词错误</abilityName>
      <candidateList>
        <item>计入</item>
      </candidateList>
      <explain>存在发音相同字词的误用。</explain>
      <paraID>5D5962D5</paraID>
      <start>15</start>
      <end>17</end>
      <status>unmodified</status>
      <modifiedWord/>
      <trackRevisions>false</trackRevisions>
    </reviewItem>
    <reviewItem>
      <errorID>957a0695-2dcc-485a-b014-d458d9035866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6269A7CC</paraID>
      <start>0</start>
      <end>2</end>
      <status>unmodified</status>
      <modifiedWord/>
      <trackRevisions>false</trackRevisions>
    </reviewItem>
    <reviewItem>
      <errorID>9f783bdd-c74f-4091-96c4-aa3f3b3e15c7</errorID>
      <errorWord>,</errorWord>
      <group>L1_Format</group>
      <groupName>格式问题</groupName>
      <ability>L2_HalfPunc_CN</ability>
      <abilityName>全半角问题</abilityName>
      <candidateList>
        <item>，</item>
      </candidateList>
      <explain>文本全半角错误。</explain>
      <paraID>59DFCD40</paraID>
      <start>45</start>
      <end>46</end>
      <status>unmodified</status>
      <modifiedWord/>
      <trackRevisions>false</trackRevisions>
    </reviewItem>
    <reviewItem>
      <errorID>be1c3c0b-4039-4f86-bf13-6c86e20b6645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34FEC76B</paraID>
      <start>0</start>
      <end>2</end>
      <status>unmodified</status>
      <modifiedWord/>
      <trackRevisions>false</trackRevisions>
    </reviewItem>
    <reviewItem>
      <errorID>649c38b4-3d2f-43c3-a5ab-2f5c1fee2312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72F82033</paraID>
      <start>0</start>
      <end>2</end>
      <status>unmodified</status>
      <modifiedWord/>
      <trackRevisions>false</trackRevisions>
    </reviewItem>
    <reviewItem>
      <errorID>504a7501-0388-4dac-8343-cf28ebe01f3f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21D9FBF7</paraID>
      <start>0</start>
      <end>2</end>
      <status>unmodified</status>
      <modifiedWord/>
      <trackRevisions>false</trackRevisions>
    </reviewItem>
    <reviewItem>
      <errorID>43bfb2c8-ebbf-49b6-8c2b-93e39b9bdaaf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3C04C57A</paraID>
      <start>32</start>
      <end>35</end>
      <status>unmodified</status>
      <modifiedWord/>
      <trackRevisions>false</trackRevisions>
    </reviewItem>
    <reviewItem>
      <errorID>675ed49c-2a6f-4335-99e5-97a8bebb0106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57731C5D</paraID>
      <start>0</start>
      <end>2</end>
      <status>unmodified</status>
      <modifiedWord/>
      <trackRevisions>false</trackRevisions>
    </reviewItem>
    <reviewItem>
      <errorID>9d496192-cdbe-4550-8f0a-9faa5c46d7ef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253AA86</paraID>
      <start>0</start>
      <end>2</end>
      <status>unmodified</status>
      <modifiedWord/>
      <trackRevisions>false</trackRevisions>
    </reviewItem>
    <reviewItem>
      <errorID>d70f9d95-4a49-46da-a318-e3a7e12da0b8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4880ACA8</paraID>
      <start>0</start>
      <end>2</end>
      <status>unmodified</status>
      <modifiedWord/>
      <trackRevisions>false</trackRevisions>
    </reviewItem>
    <reviewItem>
      <errorID>1aadf692-cbf0-4346-b00d-ed4b822bb70e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432CED22</paraID>
      <start>6</start>
      <end>9</end>
      <status>unmodified</status>
      <modifiedWord/>
      <trackRevisions>false</trackRevisions>
    </reviewItem>
    <reviewItem>
      <errorID>f3974c54-1c14-49e2-842e-eabd4060591d</errorID>
      <errorWord>应由</errorWord>
      <group>L1_Word</group>
      <groupName>字词问题</groupName>
      <ability>L2_Typo</ability>
      <abilityName>字词错误</abilityName>
      <candidateList>
        <item>应</item>
      </candidateList>
      <explain/>
      <paraID>599B55FB</paraID>
      <start>64</start>
      <end>66</end>
      <status>unmodified</status>
      <modifiedWord/>
      <trackRevisions>false</trackRevisions>
    </reviewItem>
    <reviewItem>
      <errorID>afee6501-e8a1-47c7-bf8c-72b835fd3f5b</errorID>
      <errorWord>-</errorWord>
      <group>L1_Format</group>
      <groupName>格式问题</groupName>
      <ability>L2_HalfPunc_CN</ability>
      <abilityName>全半角问题</abilityName>
      <candidateList>
        <item>－</item>
      </candidateList>
      <explain>文本全半角错误。</explain>
      <paraID> 187773E</paraID>
      <start>47</start>
      <end>48</end>
      <status>unmodified</status>
      <modifiedWord/>
      <trackRevisions>false</trackRevisions>
    </reviewItem>
    <reviewItem>
      <errorID>8da6ba48-fa55-429e-a2b0-90e030fffe0e</errorID>
      <errorWord>-</errorWord>
      <group>L1_Format</group>
      <groupName>格式问题</groupName>
      <ability>L2_HalfPunc_CN</ability>
      <abilityName>全半角问题</abilityName>
      <candidateList>
        <item>－</item>
      </candidateList>
      <explain>文本全半角错误。</explain>
      <paraID> 187773E</paraID>
      <start>52</start>
      <end>53</end>
      <status>unmodified</status>
      <modifiedWord/>
      <trackRevisions>false</trackRevisions>
    </reviewItem>
    <reviewItem>
      <errorID>2f5bc4ef-9c49-4652-ba65-aa697f4d9959</errorID>
      <errorWord>-</errorWord>
      <group>L1_Format</group>
      <groupName>格式问题</groupName>
      <ability>L2_HalfPunc_CN</ability>
      <abilityName>全半角问题</abilityName>
      <candidateList>
        <item>－</item>
      </candidateList>
      <explain>文本全半角错误。</explain>
      <paraID> 187773E</paraID>
      <start>56</start>
      <end>57</end>
      <status>unmodified</status>
      <modifiedWord/>
      <trackRevisions>false</trackRevisions>
    </reviewItem>
    <reviewItem>
      <errorID>40efdaa5-f6d9-4b6d-a602-98eb37dbeff3</errorID>
      <errorWord>，</errorWord>
      <group>L1_Word</group>
      <groupName>字词问题</groupName>
      <ability>L2_Typo</ability>
      <abilityName>字词错误</abilityName>
      <candidateList>
        <item>，经</item>
      </candidateList>
      <explain/>
      <paraID>609F8C25</paraID>
      <start>27</start>
      <end>28</end>
      <status>unmodified</status>
      <modifiedWord/>
      <trackRevisions>false</trackRevisions>
    </reviewItem>
    <reviewItem>
      <errorID>81de699e-05ce-4ca1-9243-a111b6a9fcd5</errorID>
      <errorWord>(</errorWord>
      <group>L1_Format</group>
      <groupName>格式问题</groupName>
      <ability>L2_HalfPunc_CN</ability>
      <abilityName>全半角问题</abilityName>
      <candidateList>
        <item>（</item>
      </candidateList>
      <explain>文本全半角错误。</explain>
      <paraID>37771474</paraID>
      <start>42</start>
      <end>43</end>
      <status>unmodified</status>
      <modifiedWord/>
      <trackRevisions>false</trackRevisions>
    </reviewItem>
    <reviewItem>
      <errorID>f318903c-f382-4898-9352-d919ba800548</errorID>
      <errorWord>)</errorWord>
      <group>L1_Format</group>
      <groupName>格式问题</groupName>
      <ability>L2_HalfPunc_CN</ability>
      <abilityName>全半角问题</abilityName>
      <candidateList>
        <item>）</item>
      </candidateList>
      <explain>文本全半角错误。</explain>
      <paraID>37771474</paraID>
      <start>45</start>
      <end>46</end>
      <status>unmodified</status>
      <modifiedWord/>
      <trackRevisions>false</trackRevisions>
    </reviewItem>
    <reviewItem>
      <errorID>b19b5c3b-2d73-4200-a0cf-d477927639b1</errorID>
      <errorWord>需报</errorWord>
      <group>L1_Word</group>
      <groupName>字词问题</groupName>
      <ability>L2_Typo</ability>
      <abilityName>字词错误</abilityName>
      <candidateList>
        <item>须报</item>
      </candidateList>
      <explain>存在发音相同字词的误用。</explain>
      <paraID>4910CB5D</paraID>
      <start>54</start>
      <end>56</end>
      <status>unmodified</status>
      <modifiedWord/>
      <trackRevisions>false</trackRevisions>
    </reviewItem>
    <reviewItem>
      <errorID>997c64f8-472a-4938-ae7c-45edd58a6aed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5135D4CD</paraID>
      <start>6</start>
      <end>7</end>
      <status>unmodified</status>
      <modifiedWord/>
      <trackRevisions>false</trackRevisions>
    </reviewItem>
    <reviewItem>
      <errorID>4437728b-e41d-4920-8c39-6b127c6b81ed</errorID>
      <errorWord>中央研究院</errorWord>
      <group>L1_Sensitive</group>
      <groupName>敏感问题</groupName>
      <ability>L2_Violent</ability>
      <abilityName>暴恐词条</abilityName>
      <candidateList/>
      <explain>【暴恐词条】句中包含暴恐类敏感词条，请注意甄别。</explain>
      <paraID>535EFEB7</paraID>
      <start>18</start>
      <end>23</end>
      <status>unmodified</status>
      <modifiedWord/>
      <trackRevisions>false</trackRevisions>
    </reviewItem>
    <reviewItem>
      <errorID>ef3a0fbc-4b39-4a1b-8233-31ee3b02bb23</errorID>
      <errorWord>(</errorWord>
      <group>L1_Format</group>
      <groupName>格式问题</groupName>
      <ability>L2_HalfPunc_CN</ability>
      <abilityName>全半角问题</abilityName>
      <candidateList>
        <item>（</item>
      </candidateList>
      <explain>文本全半角错误。</explain>
      <paraID> 5800B17</paraID>
      <start>8</start>
      <end>9</end>
      <status>unmodified</status>
      <modifiedWord/>
      <trackRevisions>false</trackRevisions>
    </reviewItem>
    <reviewItem>
      <errorID>c5b79ecc-adf3-405e-b94b-fa33a557970b</errorID>
      <errorWord>)</errorWord>
      <group>L1_Format</group>
      <groupName>格式问题</groupName>
      <ability>L2_HalfPunc_CN</ability>
      <abilityName>全半角问题</abilityName>
      <candidateList>
        <item>）</item>
      </candidateList>
      <explain>文本全半角错误。</explain>
      <paraID> 5800B17</paraID>
      <start>23</start>
      <end>24</end>
      <status>unmodified</status>
      <modifiedWord/>
      <trackRevisions>false</trackRevisions>
    </reviewItem>
    <reviewItem>
      <errorID>615eecdc-b669-4e55-8f13-91d7956f26dd</errorID>
      <errorWord>参见</errorWord>
      <group>L1_Word</group>
      <groupName>字词问题</groupName>
      <ability>L2_Typo</ability>
      <abilityName>字词错误</abilityName>
      <candidateList>
        <item>参加</item>
      </candidateList>
      <explain>〈动〉❶加入某种组织或某种活动：～工会｜～会议｜～选举｜～绿化劳动。❷提出（意见）：这件事儿，请你也～点儿意见。</explain>
      <paraID> FAE12F8</paraID>
      <start>90</start>
      <end>93</end>
      <status>unmodified</status>
      <modifiedWord/>
      <trackRevisions>false</trackRevisions>
    </reviewItem>
  </reviewItems>
  <config/>
</contractReview>
</file>

<file path=customXml/itemProps1.xml><?xml version="1.0" encoding="utf-8"?>
<ds:datastoreItem xmlns:ds="http://schemas.openxmlformats.org/officeDocument/2006/customXml" ds:itemID="{04693e43-de19-47d3-aca2-e341bc2efca5}">
  <ds:schemaRefs/>
</ds:datastoreItem>
</file>

<file path=docProps/app.xml><?xml version="1.0" encoding="utf-8"?>
<Properties xmlns="http://schemas.openxmlformats.org/officeDocument/2006/extended-properties" xmlns:vt="http://schemas.openxmlformats.org/officeDocument/2006/docPropsVTypes">
  <Template>Normal</Template>
  <Company>pku</Company>
  <Pages>19</Pages>
  <Words>1958</Words>
  <Characters>2007</Characters>
  <Lines>69</Lines>
  <Paragraphs>19</Paragraphs>
  <TotalTime>113</TotalTime>
  <ScaleCrop>false</ScaleCrop>
  <LinksUpToDate>false</LinksUpToDate>
  <CharactersWithSpaces>2019</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2026-06-08T17:43:00Z</dcterms:created>
  <dc:creator>pkusfl</dc:creator>
  <cp:lastModifiedBy>颜丽</cp:lastModifiedBy>
  <cp:lastPrinted>2026-06-28T18:20:00Z</cp:lastPrinted>
  <dcterms:modified xsi:type="dcterms:W3CDTF">2026-09-29T10:59:59Z</dcterms:modified>
  <dc:title>北京大学外国语学院本科生素质综合测评办法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68867017F6D945CF8C882FEE3D62777C_13</vt:lpwstr>
  </property>
  <property fmtid="{D5CDD505-2E9C-101B-9397-08002B2CF9AE}" pid="4" name="KSOTemplateDocerSaveRecord">
    <vt:lpwstr>eyJoZGlkIjoiNGVhMmFmYWEwMGE3NmEyOTU2Y2Y0YjlmMzE4ZjYxZTYiLCJ1c2VySWQiOiIxMDQ5NzE5NDkzIn0=</vt:lpwstr>
  </property>
</Properties>
</file>